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PE20.008726 vom 22. Februar 2021</w:t>
      </w:r>
    </w:p>
    <w:p>
      <w:r>
        <w:t>VD Tribunal cantonal, 2021-02-22, FR</w:t>
      </w:r>
    </w:p>
    <w:p>
      <w:r>
        <w:rPr>
          <w:b/>
        </w:rPr>
        <w:t xml:space="preserve">Quelle: </w:t>
      </w:r>
      <w:r>
        <w:t>https://mcp.opencaselaw.ch/entscheid/vd_gerichte_PE20.008726</w:t>
      </w:r>
    </w:p>
    <w:p>
      <w:r>
        <w:t>FR: VD_GERICHTE PE20.008726 du 22 février 2021</w:t>
      </w:r>
    </w:p>
    <w:p>
      <w:r>
        <w:t>IT: VD_GERICHTE PE20.008726 del 22 febbraio 2021</w:t>
      </w:r>
    </w:p>
    <w:p>
      <w:pPr>
        <w:pStyle w:val="Heading2"/>
      </w:pPr>
      <w:r>
        <w:t>Erwägungen</w:t>
      </w:r>
    </w:p>
    <w:p>
      <w:r>
        <w:rPr>
          <w:b/>
        </w:rPr>
        <w:t>E. 3</w:t>
      </w:r>
    </w:p>
    <w:p>
      <w:r>
        <w:t>Sur le territoire suisse, du mois de décembre 2017 au 4 juin 2019, L.________ a consommé régulièrement de la marijuana et parfois de l’ecstasy.</w:t>
      </w:r>
    </w:p>
    <w:p>
      <w:r>
        <w:rPr>
          <w:b/>
        </w:rPr>
        <w:t>E. 3.1</w:t>
      </w:r>
    </w:p>
    <w:p>
      <w:r>
        <w:t>A titre de mesure d’instruction, l’appelant a requis l’audition de D.________.</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w:t>
      </w:r>
    </w:p>
    <w:p>
      <w:r>
        <w:t>- 15 -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 citées).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et les réf. citées, JdT 2015 I 115).</w:t>
      </w:r>
    </w:p>
    <w:p>
      <w:r>
        <w:rPr>
          <w:b/>
        </w:rPr>
        <w:t>E. 3.3</w:t>
      </w:r>
    </w:p>
    <w:p>
      <w:r>
        <w:t>D.________, directeur de [...], à Genève, et ami du prévenu et de son épouse, a signé en faveur de ce dernier une « promesse de stage à durée indéterminé[e] » pour un emploi d’aide-peintre dès sa sortie de détention. Cette attestation, datée du 27 octobre 2020, figure au dossier (P. 51/6) et [...] a pu expliquer que D.________ voulait engager son époux au terme de son stage (jugt, p. 4), de sorte qu’on ne voit pas ce que l’audition de ce témoin pourrait amener de plus à l’instruction de la cause concernant « l’avenir professionnel de l’appelant » (appel, p. 11). Celui-ci ne l’explique par ailleurs pas, pas plus qu’il n’indique en quoi ce témoignage pourrait apporter des informations pertinentes relatives à son « intégration en Suisse » (appel, p. 11) en sus de celles qui ressortent déjà du dossier ; l’appelant aurait pu produire une attestation écrite à cet égard, comme il l’a d’ailleurs fait pour d’autres de ses amis (P. 60/2/6). La réquisition de preuves de l’appelant devait dès lors être rejetée.</w:t>
      </w:r>
    </w:p>
    <w:p>
      <w:r>
        <w:rPr>
          <w:b/>
        </w:rPr>
        <w:t>E. 4</w:t>
      </w:r>
    </w:p>
    <w:p>
      <w:r>
        <w:t>L’appel joint portant sur la quotité de la peine et l’appel principal sur les conditions de détention et l’expulsion, il convient d’examiner en premier lieu l’appel joint.</w:t>
      </w:r>
    </w:p>
    <w:p>
      <w:r>
        <w:rPr>
          <w:b/>
        </w:rPr>
        <w:t>E. 4.1</w:t>
      </w:r>
    </w:p>
    <w:p>
      <w:r>
        <w:t>Le Ministère public considère que la sanction prononcée est trop clémente, la peine privative de liberté devant être fixée à 36 mois. Il</w:t>
      </w:r>
    </w:p>
    <w:p>
      <w:r>
        <w:t>- 16 - relève en particulier les cinq précédentes condamnations du prévenu dont deux pour des délits à la LStup, la nouvelle instruction pénale ouverte contre l’intéressé le 13 avril 2019 pour une infraction à la LStup et sa prise de conscience inexistante.</w:t>
      </w:r>
    </w:p>
    <w:p>
      <w:r>
        <w:rPr>
          <w:b/>
        </w:rPr>
        <w:t>E. 4.2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ATF 141 IV 61 consid. 6.1.1 p. 66 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p. 196). Le type de drogue et sa pureté doivent aussi être pris en considération (ATF 122 IV 299 consid. 2c p. 301 s.; ATF 121 IV 193 consid. 2b/aa p. 196). Le type et la nature du trafic en cause sont aussi</w:t>
      </w:r>
    </w:p>
    <w:p>
      <w:r>
        <w:t>- 17 -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6B_189/2017 du 7 décembre 2017 consid. 5.1; TF 6B_107/2013 du 15 mai 2013 consid. 2.1.1).</w:t>
      </w:r>
    </w:p>
    <w:p>
      <w:r>
        <w:rPr>
          <w:b/>
        </w:rPr>
        <w:t>E. 4.3</w:t>
      </w:r>
    </w:p>
    <w:p>
      <w:r>
        <w:t>L’appelant s’est rendu coupable d'infraction à la LStup, le cas grave étant réalisé, de contravention à la LStup et d’infraction à la LEI. Sa culpabilité est lourde. Il a notamment réceptionné un total de 92,6 grammes de cocaïne pure et l’ampleur de la saisie montre qu’il n’est pas le premier venu dans l’organigramme du réseau (cf. P. 37, p. 8). Il a agi par appât du gain, lui-même expliquant ne pas consommer de cocaïne. Toutefois, rien ne justifie d’augmenter la peine privative de liberté à 36 mois « tel que requis lors de l’audience du 22 février 2022 » par le Ministère public (appel joint, p. 1) ; d’une part, pour le cas 1.4 de l’acte d’accusation (cf supra consid. 2.4 dans la partie « En fait »), il n’a finalement pas été retenu que le prévenu avait acquis 100 grammes de marijuana mais qu’il avait reçu 100 fr. pour l’achat de marijuana et, d’autre part, l’infraction à la LEI porte sur une période allant du 13 avril au</w:t>
      </w:r>
    </w:p>
    <w:p>
      <w:r>
        <w:rPr>
          <w:b/>
        </w:rPr>
        <w:t>E. 9</w:t>
      </w:r>
    </w:p>
    <w:p>
      <w:r>
        <w:t>décembre 2019 (cf. supra consid. 4 dans la partie « En fait »), soit bien inférieure à celle – allant du 20 mars 2017 au 10 décembre 2019 – indiquée dans l’acte d’accusation (cas 3). Pour le reste, force est de constater que les premiers juges n’ont omis aucun élément d’appréciation dans leurs considérants. Comme ils l’ont à juste titre relevé, l’intéressé a eu une fille, née en décembre 2019, ce qui ne l’a pas empêché de récidiver en matière de stupéfiants. La collaboration à l’enquête n’a pas été très bonne. Il a en effet commencé par mentir sur tout, avant de</w:t>
      </w:r>
    </w:p>
    <w:p>
      <w:r>
        <w:t>- 18 - devoir admettre les faits, au regard notamment de la drogue dont il s’est débarrassé dans les toilettes du Centre de la Blécherette, drogue qui a pu être récupérée. Les antécédents de l'appelant sont mauvais, son casier judiciaire comportant 5 précédentes condamnations. De plus, il a été condamné à Genève le 3 décembre 2020 pour infraction à la LStup, condamnation contre laquelle il a fait appel. On ne discerne pas d’éléments à décharge. Au regard de l’ensemble de ces éléments, dont le Tribunal correctionnel a tenu compte, force est de constater que la peine privative de liberté de 26 mois correspond à la culpabilité du prévenu et est donc adéquate, de sorte qu’elle doit être confirmée, étant précisé qu’il ne s’agit pas d’une peine partiellement complémentaire à celle fixée le 3 décembre 2020 puisque ce dernier jugement n’est pas définitif, si bien qu’il n’y a pas lieu de tenir compte du quantum de 120 jours prononcés précédemment (cf. ATF 129 IV 113 consid. 1.3). Le moyen doit donc être rejeté et, avec lui, l’appel joint du Ministère public. 5. L’appelant conteste son expulsion. 5.1 5.1.1 Il explique tout d’abord qu’il ne lui est pas reproché des infractions contre la vie, l’intégrité physique ou sexuelle. 5.1.2 Aux termes de l'art. 66a al. 1 let. o CP, le juge expulse de Suisse l'étranger qui est condamné pour infraction à l’art. 19 al. 2 LStup,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- 19 -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TF 6B_506/2017 du 14 février 2018 consid. 1.1). 5.1.3 S’il est vrai, comme le relève l’appelant, qu’on ne lui reproche pas d’infraction contre la vie, l’intégrité sexuelle ou physique, infractions qui sont considérées comme étant les plus graves, il semble perdre de vue qu’il a tout de même commis une infraction contre la santé publique, qui n’est pas anodine. Peu importe toutefois, sa condamnation entrant dans le catalogue visé par l’art. 66a al. 1 CP, puisqu’il s’est rendu coupable d’infraction grave à la LStup (art. 66a al. 1 let. o CP). Il remplit donc a priori les conditions d'une expulsion, sous la réserve de l'application de l'art. 66a al. 2 CP, voire également des normes de droit international (cf. ATF 144 IV 332 consid. 3.2). 5.2 5.2.1 L’appelant relève qu’il est marié et père d’une fille, cette dernière et son épouse bénéficiant d’un titre de séjour en Suisse, qu’il a des liens très forts avec son enfant, qu’il a beaucoup soutenu son épouse depuis la naissance de leur fille, qu’il a dû quitter la Gambie en raison des accusations pesant sur lui d’être homosexuel, ce qui est réprimé dans son pays, qu’il n’a aucune perspective professionnelle en Gambie, ni aucune perspective de réintégration, ses frères ne lui adressant plus la parole, et qu’il est intégré en Suisse. 5.2.2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- 20 -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précité ; TF 6B_1329/2018 précité ; TF 6B_1262/2018 précité).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w:t>
      </w:r>
    </w:p>
    <w:p>
      <w:r>
        <w:t>- 21 -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w:t>
      </w:r>
    </w:p>
    <w:p>
      <w:r>
        <w:t>- 22 - durablement en Suisse (ATF 144 II 1 consid. 6.1 ; ATF 139 I 330 consid. 2.1 et les références citées ; TF 6B_908/2019 du 5 novembre 2019 consid. 2.1.1).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5.2.3 5.2.3.1 Selon les premières déclarations de l’appelant sur sa situation personnelle et financière du 4 juin 2020 (PV aud. 2, R. 5), déclarations qu’il a confirmées devant la Procureure (PV aud. 3, lignes 145 à 147) et qui semblent les plus fiables, L.________ a quitté la Gambie il y a environ 7 ans pour l’Italie, puis la France et la Suisse. A Genève, il a rencontré une femme dont il est tombé amoureux et avec laquelle il s’est marié le [...] 2020. Il a expliqué qu’il était officiellement installé en Suisse depuis 7 à 8 mois, qu’auparavant il faisait des allers-retours entre Genève et Annemasse. Sa fille est née en décembre 2019, la famille vivant dans un appartement à [...]. Sa femme ne travaille plus depuis la naissance de leur enfant. L’appelant a indiqué qu’il gagnait entre 1'300 et 1'400 euros par mois en faisant des travaux au noir dans les champs dans la région d’Annemasse, qu’il travaillait également en Suisse dans le domaine de la peinture et qu’il ne dépendait pas de l’aide sociale. Au regard de ces éléments, on doit admettre que l’appelant a un intérêt à rester en Suisse, sa femme et sa fille vivant à [...], dans le canton de Genève. Son expulsion est dès lors de nature à le placer dans une situation personnelle grave.</w:t>
      </w:r>
    </w:p>
    <w:p>
      <w:r>
        <w:t>- 23 - En revanche, on ne peut retenir les déclarations du prévenu selon lesquelles il aurait quitté la Gambie au motif qu’il aurait été accusé d’être homosexuel. En effet, ses explications à cet égard ne sont intervenues que lors des débats de première instance (jugt, p. 3) et paraissent de circonstances, au regard de la situation de couple de l’intéressé, qui est marié et père d’un enfant. En appel, le prévenu a produit des pièces à l’appui de ses propos, censées prouver qu’il serait recherché par la police dans son pays en raison de son homosexualité (P. 84/1 et 84/2). Or, il ressort de ces documents qu’il mesurerait 1 m 56 (P. 84/2) – lui-même ayant confirmé qu’il fait « 1 m 50 et quelque chose » (p. 4 supra) –, ce qui ne correspond pas à ce que la Cour de céans a pu constater lors de l’audience d’appel, l’intéressé étant de taille supérieure. En outre, selon ces mêmes pièces, il serait né à [...] (P. 84/2), alors qu’il a confirmé être né à [...] (p. 5 supra), ce qui ressort également des documents figurant au dossier de première instance, notamment de son passeport, de l’extrait de l’acte de mariage et de son certificat de famille (P. 33/2 et P. 33/3). Ensuite, l’appelant n’est pas crédible lorsqu’il prétend avoir reçu les pièces litigieuses (P. 84/1 et 84/2) de sa mère, qui vit en Gambie, après l’audience de première instance (p. 4 supra), raison pour laquelle il n’aurait pas pu les produire avant. En effet, il ressort du courrier du SEM (Secrétariat d’Etat à l’économie) du 21 avril 2021 adressé à son épouse qu’il « aurait déposé en Italie une demande d’asile le 13 décembre 2016 en invoquant des persécutions » (P. 84/3), soit vraisemblablement liées à son homosexualité (cf. ég. P. 51/2 où il est fait état d’une « demande de protection internationale ») ; or, à supposer que cela soit vrai – ce qui n’est pas établi –, il lui aurait été loisible de produire dans la présente procédure copie des documents attestant de sa demande d’asile de l’époque, ce qu’il n’a pas fait. Enfin, à l’audience d’appel, le prévenu a d’abord déclaré qu’il n’avait fait aucune demande d’asile en Suisse, avant de préciser qu’il en avait déposé une « en raison de [s]on homosexualité », sans toutefois l’établir, la demande de février 2021 (P. 51/2) concernant une procédure</w:t>
      </w:r>
    </w:p>
    <w:p>
      <w:r>
        <w:t>- 24 - de regroupement familial. D’ailleurs, déjà lors de la procédure ayant conduit à sa précédente condamnation par les autorités genevoises en décembre 2020, il avait expliqué sa présence en Suisse uniquement par le fait qu’il avait une compagne à Genève et que celle-ci était, à l’époque, enceinte de trois mois (P. 52, p. 4). Tous ces éléments font penser que les pièces produites en appel à l’appui de ses allégations en relation avec sa prétendue homosexualité et la persécution qu’il risquerait de subir en Gambie pour ce motif (P. 84/1 et 84/2) sont des faux, l’une d’entre elles étant d’ailleurs datée du « 29 février 2013 », date qui n’existe pas puisque 2013 est une année non bissextile. 5.2.3.2 Il convient encore d'examiner si l'intérêt privé de l’appelant à demeurer en Suisse l'emporte sur celui, public, au prononcé de l'expulsion. L’appelant n’est pas intégré en Suisse. Il parle très mal le français. Il a certes produit une promesse d’embauche. Celle-ci provient du meilleur ami de son épouse. De plus, l’appelant s’est livré à son trafic alors que, selon ses propres dires, il est au bénéfice de deux formations (agriculture et cuisinier) et travaillait à l’époque au noir en France, voire également en Suisse. Il percevait donc des revenus. En outre, il a suivi la scolarité, puis des formations dans son pays d’origine. Il y a également travaillé et sa famille s’y trouve encore. On ne voit donc pas en quoi sa réintégration en Gambie pourrait être problématique. De toute manière, même dans son pays, il pourra communiquer avec sa fille en Suisse par les moyens techniques modernes. L’appelant s’est livré à un commerce de stupéfiants alors qu’il venait d’avoir un enfant. Il a expliqué aux débats de première instance qu’il avait continué à dealer après 2019 et l’obtention d’une autorisation dans le but d’avoir un peu d’argent pour sa fille (jugt, p .3). Or, comme déjà dit ci-dessus, il travaillait au noir et venait également d’obtenir une autorisation en raison de son mariage. A l’audience d’appel, il a ajouté qu’il s’était adonné à ce trafic illégal « pour soutenir [s]a famille en raison</w:t>
      </w:r>
    </w:p>
    <w:p>
      <w:r>
        <w:t>- 25 - du covid » (p. 4 supra), alors qu’il ressort des faits, non contestés, qu’il a commencé son activité délictueuse en décembre 2019, soit avant que des mesures soient prises en Suisse face au coronavirus en mars 2020. Par ailleurs, son casier judiciaire suisse comporte cinq précédentes inscriptions, une nouvelle procédure étant encore pendante dans le canton de Genève. Il a notamment été reconnu coupable à deux reprises déjà d’infractions à la LStup au sens de l’art. 19 al. 1 de cette loi, selon l’extrait de son casier judiciaire, ce qu’il tente de minimiser en affirmant n’avoir été condamné que pour sa propre consommation (p. 4 in fine et p. 5 supra). On doit également relever que la procédure à Genève a été ouverte pour des faits du 12 avril 2019, ce qui ne l’a toutefois pas empêché de poursuivre ses activités illicites. Au regard de ces éléments, on doit admettre que l’intérêt public à l’expulsion l’emporte. Cette mesure doit donc être confirmée, tout comme sa durée fixée à 8 ans, qui se révèle parfaitement proportionnée. 6. 6.1 L’appelant demande qu’il soit constaté qu’il subit une détention dans des conditions illicites depuis le 4 juin 2020 et requiert une réduction de peine pour ce motif. 6.2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w:t>
      </w:r>
    </w:p>
    <w:p>
      <w:r>
        <w:t>- 26 - une réduction de la peine (ATF 142 IV 245 consid. 4.1 et les références citées ; TF 6B_352/2018 du 27 juillet 2018 consid. 6.5.1 ; TF 6B_1395/2016 du 27 octobre 2017 consid. 1.1). Dans un arrêt du 29 octobre 2019 (n° 431) rendu en matière de réparation morale de conditions de détention illicites sous la forme d’une réduction de peine, la Cour d’appel pénale a notamment rappelé que le critère de base était celui de l’insuffisance de la surface nette de la cellule auquel s’ajoutaient le cas échéant des circonstances aggravantes et a précisé notamment qu’une surface nette se situant entre 3 et 4 m2 donnait matière à réparation si plusieurs circonstances aggravantes – comme l’absence de séparation entre les sanitaires et le reste de l’espace et une durée de détention supérieure à trois mois – étaient réalisées, ce qui donnait lieu à une réduction de peine de 1/4. Cet arrêt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m2 et de plusieurs autres facteurs aggravants, une réduction de 1/4 en cas de surface nette inférieure à 3 m2 et d’une circonstance aggravante ou en cas de surface nette entre 3 et 4 m2 et de plusieurs circonstances aggravantes, ainsi qu’une réduction de 1/5 en cas de surface nette inférieure à 3 m2 ou en cas de surface nette comprise entre 3 et 4 m2 et d’une circonstance aggravante. Selon le Tribunal fédéral, l’espace occupé par l’annexe sanitaire (généralement d’1 à 2 m2) devrait être exclu du calcul des 4 m2 par personne dans les cellules collectives. De plus l’annexe sanitaire de ces dernières devrait être entièrement cloisonnée (TF 1B_70/2016 du 24 juin 2016 consid. 3.2). A cet égard, la Chambre des recours pénale du Tribunal cantonal opère en principe une déduction forfaitaire de 1,5 m2 (cf. CREP 10 novembre 2020/888 consid. 4.1.5 ; CREP 5 septembre 2019/728 consid. 2.2.1; CREP 15 août 2019/654 consid. 2.2).</w:t>
      </w:r>
    </w:p>
    <w:p>
      <w:r>
        <w:t>- 27 - 6.3 Dans le cas d’espèce, quatre jours de détention dans des conditions illicites ont d’ores et déjà été pris en compte par le Tribunal correctionnel en réparation des conditions de détention de L.________ pour la période allant du 4 au 12 juin 2020, avant son transfert à la prison de la Croisée. Seules demeurent donc litigieuses les conditions de détention dans cet établissement. Par décision du 18 mars 2021, le Tribunal des mesures de contrainte a décliné sa compétence s’agissant de la constatation des conditions illicites, au motif que le prévenu pouvait requérir une réduction de peine devant l’autorité d’appel. L’instruction conduite en procédure d’appel a établi que les deux cellules successivement occupées par le détenu avaient chacune une surface de 12,6 m2 (y compris la surface occupée par le mobilier), ce que l’appelant ne conteste pas (p. 5 supra « La cellule n’est pas plus grande de 6 m sur 2 m »). Au vu de la jurisprudence précitée, une déduction forfaitaire de 1,5 m2 pour la surface sanitaire doit être opérée pour calculer la surface individuelle des cellules. Ce faisant, force est de constater que L.________ – qui à l’audience d’appel s’est plaint de l’éloignement de sa famille plutôt que des conditions de son incarcération – a été détenu dans des cellules dont l’espace individuel est de 5,55 m2 ([12,6 – 1,5] : 2), soit supérieure à 4 m2, ce qui répond aux critères posés par la jurisprudence en matière de surface individuelle. Ces cellules bénéficiaient en outre d’un éclairage par lumière naturelle au travers de la fenêtre, ainsi que d’une applique au plafond et d’une autre aux WC. Pour le reste, le fait que les sanitaires soient séparés du reste de la cellule par un rideau et le confinement en cellule d’une durée estimée par le prévenu à 23 heures par jour – sans tenir compte des sorties autorisées pour les activités sportives – ne suffisent pas à considérer les conditions de détention du prévenu à la prison de la Croisée comme illicites. Le fait que le détenu n’ait, à tout le moins jusqu’à l’audience d’appel, pas pu travailler, faute d’être en exécution de peine, n’y change rien.</w:t>
      </w:r>
    </w:p>
    <w:p>
      <w:r>
        <w:t>- 28 - Hormis la période antérieure au transfert du prévenu à la prison de la Croisée, déjà prise en compte, il n’y donc pas de tort moral qui nécessiterait une réparation sous quelque forme que ce soit. 7. Au vu de ce qui précède, l’appel de L.________ et l’appel joint du Ministère public doivent tous deux être rejetés et le jugement attaqué confirmé. Le défenseur d’office de L.________, Me Jonathan Rutschmann, a produit une liste d’opérations faisant état d’une durée totale de 18 heures et 16 minutes d’activité (P. 83). Le temps annoncé doit toutefois être réduit en ce qui concerne l’étude du dossier. Tout d’abord, le temps consacré le 16 mars 2021 à la recherche juridique sur l’art. 3 CEDH et les conditions illicites de détention, par 45 minutes, ne se justifie pas, dans la mesure où l’on tient déjà compte du temps (1h) indiqué pour la rédaction de la demande de constatation adressée le même jour au Tribunal des mesures de contrainte, alors même que cette demande a été déclarée irrecevable par cette autorité et que les arguments qui y sont développés (P. 60/2/7) sont repris tels quels dans la déclaration d’appel motivée. Le temps consacré à l’étude de la « jurisprudence récente (expulsion) », par 30 minutes, doit également être retranché, compte tenu de la connaissance du dossier acquise en première instance par le mandataire, qui a pu faire valoir ses arguments devant les premiers juges. Il en va de même du poste « Rapport EASO (situation en Gambie) », comptabilisé à hauteur de 20 minutes, qui ne se justifie pas. Par ailleurs, le temps consacré à la préparation de deux bordereaux de pièces, par 25 minutes au total, correspond à du travail de secrétariat et ne saurait être rémunéré. On tiendra enfin compte de la durée de l’audience d’appel. Il convient par conséquent de retenir 18 heures (en chiffres arrondis) d’activité d’avocat breveté au tarif horaire de 180 fr., des débours forfaitaires à concurrence de 2% et une vacation à 120 francs. L’indemnité de défenseur d’office de Me Jonathan Rutschmann, qui a précisé ne pas être assujetti à la TVA (P. 83), est par conséquent fixée à 3'424 fr. 80 pour</w:t>
      </w:r>
    </w:p>
    <w:p>
      <w:r>
        <w:t>- 29 - la procédure d’appel (3'240 fr. [honoraires] + 64 fr. 80 [débours] + 120 fr. [vacation]). Vu l'issue de la cause et compte tenu de l’intervention du Ministère public par voie de jonction dans la procédure d’appel, les frais de la procédure d'appel, par 6'324 fr. 80, constitués en l’espèce de l’émolument du présent jugement, par 2'900 fr. (art. 21 al. 1 et 2 TFIP [tarif des frais de procédure et indemnités en matière pénale du 28 septembre 2010; RSV 312.03.1]), et de l’indemnité allouée au défenseur d'office de l’appelant (art. 422 al. 1 et 2 let. a CPP), par 3'424 fr. 80, seront mis par moitié à la charge de L.________ (cf. art. 428 al. 1 CPP), le solde étant laissé à la charge de l’Etat. L.________ ne sera tenu de rembourser à l’Etat la moitié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