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PE20.008548 vom 31. August 2021</w:t>
      </w:r>
    </w:p>
    <w:p>
      <w:r>
        <w:t>VD Tribunal cantonal, 2021-08-31, FR</w:t>
      </w:r>
    </w:p>
    <w:p>
      <w:r>
        <w:rPr>
          <w:b/>
        </w:rPr>
        <w:t xml:space="preserve">Quelle: </w:t>
      </w:r>
      <w:r>
        <w:t>https://mcp.opencaselaw.ch/entscheid/vd_gerichte_PE20.008548</w:t>
      </w:r>
    </w:p>
    <w:p>
      <w:r>
        <w:t>FR: VD_GERICHTE PE20.008548 du 31 août 2021</w:t>
      </w:r>
    </w:p>
    <w:p>
      <w:r>
        <w:t>IT: VD_GERICHTE PE20.008548 del 31 agosto 2021</w:t>
      </w:r>
    </w:p>
    <w:p>
      <w:pPr>
        <w:pStyle w:val="Heading2"/>
      </w:pPr>
      <w:r>
        <w:t>Erwägungen</w:t>
      </w:r>
    </w:p>
    <w:p>
      <w:r>
        <w:rPr>
          <w:b/>
        </w:rPr>
        <w:t>E. 18</w:t>
      </w:r>
    </w:p>
    <w:p>
      <w:r>
        <w:t>septembre 2020 concernant la loi sur les crédits garantis par un cautionnement solidaire à la suite du coronavirus [FF 2020 pp. 8165 ss, spéc. pp. 8184-1185 ; ci-après : Message du Conseil fédéral] ; cf. ég. dans le même sens : Marc Jean-Richard-dit-Bressel / Andrea Jug-Höhener, Die Profiteure der Krise, in : Jusletter 3. August 2020, n° 32 et 33, pp. 6-7). Cette question peut toutefois demeurer ouverte, au vu de ce qui suit, les seules explications – alambiquées – du prévenu quant à une procédure de révocation en cours en lien avec une faillite qu’il situe en 2017 n’étant par ailleurs pas déterminantes à cet égard. Avec un découvert de 2,8 millions de francs pour lesquels des actes de défaut de bien ont été délivrés (P. 67), on ne peut pas dire que ce sont les effets de la pandémie qui ont motivé la demande de crédit du prévenu, d’autant moins que celui-ci a admis avoir eu besoin dudit crédit en raison d’un manque de liquidités découlant du blocage de tout son argent à l’Office des faillites de Fribourg (jugt, p. 16). Force est ainsi de constater que K.________ a commis une tromperie en cochant la case selon laquelle il avait été « gravement atteint sur le plan économique en raison</w:t>
      </w:r>
    </w:p>
    <w:p>
      <w:r>
        <w:t>- 25 - de la pandémie COVID-19, notamment en ce qui concerne son chiffre d’affaires », ce qui est suffisant pour exclure son droit au crédit selon l’art. 3 al. 1 let. c OCaS-COVID-19, même si l’on ne peut exclure que l’intéressé ait subi – dans une moindre mesure – l’impact de la pandémie au moment de sa demande de crédit. Pour le surplus, à l’appui du chiffre d’affaires « 2018/2019 » annoncé dans le formulaire en cause, de 2'600'000 fr. – dont K.________ a admis qu’il s’agissait en réalité du chiffre d’affaires de 2017/2018 (jugt, p. 7) –, le prénommé a produit des décomptes de notaire non signés établis en octobre 2017 en relation avec des opérations immobilières à [...] pour lesquelles des acomptes ont été versés entre 2013 et 2015, soit antérieurement à la période ici pertinente. Or, comme relevé à juste titre par l’appelante, le prévenu, qui a expliqué qu’il s’agissait d’acomptes dans le cadre de « ventes à terme » dont le produit (« solde versé à [...] » [P. 8/2.4]) aurait été encaissé en 2018 et que le chiffre d’affaires de 10,7 millions de francs correspondant à ces deux promotions immobilières s’était « étendu de 2016 à 2018 » (jugt, p. 15), ne démontre pas avoir été propriétaire, en 2017 ou 2018, d’autres immeubles que celui sis [...], contrairement à ce qu’il prétend ; il ressort au contraire des extraits du Registre foncier figurant au dossier que ses droits de propriété sur les bien-fonds sis à [...] ont été radiés avant 2017 (P. 57/2.4). Les avis de taxation de 2017 et 2018, sur lesquels le prévenu s’est fondé pour justifier – a posteriori – le montant du chiffre d’affaires indiqué sur sa demande de crédit (P. 14 et 18), font certes état d’une diminution de dette d’environ 2,8 millions de francs entre 2017 et 2018 (P. 19/1 et 19/2) ; toutefois, contrairement à ce qui a été admis par les premiers juges sur la base des seules explications de l’intéressé, on ne saurait retenir – sans autre indication – que cette diminution de dette correspond au montant encaissé par ce dernier en 2018 pour son activité commerciale. En effet, non seulement il apparaît invraisemblable que le prix de vente de ces immeubles ait été versé à K.________ à un moment où celui-ci n’était plus propriétaire comme on l’a vu, mais force est également de constater que les avis de taxation en question ne permettent pas, s’agissant du montant figurant sous la colonne « Fortune », de différencier le patrimoine privé du</w:t>
      </w:r>
    </w:p>
    <w:p>
      <w:r>
        <w:t>- 26 - prénommé de son patrimoine commercial, intègrent les revenus issus de son activité d’associé gérant au sein de deux sociétés à responsabilité limitée (P. 57/2.8 et 57/2.9) et, enfin, confondent le patrimoine de chacun des époux. Au vu de ces divers éléments, force est donc de constater que le chiffre d’affaires figurant sur la demande de crédit est erroné. A défaut de s’être fondé sur une comptabilité telle qu’exigée par la convention de crédit (ch. 4), le prévenu joue sur l’opacité de sa situation qu’il a lui-même créée et il ne fournit aucun élément qui pourrait susciter le doute retenu par les premiers juges. En particulier, on ne saurait rien tirer du tableau « Détail des ventes 2017-2018 » produit à l’audience de première instance (P. 47/2), pas plus que de ceux indiquant des lieux et dates de ventes immobilières prétendument prévues dans le courant de l’année 2020 (P. 8/2.4), tableaux qu’il a lui-même établis et auxquels aucune pièce justificative n’a été jointe alors qu’il a prétendu disposer de « tous les actes [de vente] » et pouvoir « prouver la réalité de [s]es entrées et des tableaux produits par [s]on avocat en procédure » (jugt, p. 13). Par conséquent, on retiendra – par surabondance – que K.________ a également commis une tromperie en indiquant, sous chiffre 3 de la demande de crédit, un chiffre d’affaires de 2'600'000 francs. Ainsi, endetté, ayant subi une faillite personnelle, il est établi que le prévenu a profité de l’opportunité présentée par les prêts COVID pour obtenir de l’argent à des fins personnelles, ainsi qu’en atteste l’usage qu’il en a fait, en partie en tout cas, l’intéressé ayant lui-même reconnu que les 80'000 fr. qu’il a versés à son épouse le jour suivant la réception du prêt servaient à couvrir les dépenses courantes du ménage (p. 3 supra ; cf. ég. jugt, p. 14, où il affirme qu’« avec ce versement, [s]on épouse s’occupe des paiements de l’entreprise et du ménage »). 3.3.2.2 Quant à savoir si, en l’espèce, la tromperie a été astucieuse, le Ministère public soutient que le cas des crédits COVID-19 se rapproche de celui des assurances sociales en ce sens que des crédits – jusqu’à 500'000 fr. – sont octroyés sans vérifications, sur la confiance, en échange d’un devoir qualifié de dire la vérité ancré dans l’ordonnance.</w:t>
      </w:r>
    </w:p>
    <w:p>
      <w:r>
        <w:t>- 27 - Dans son exposé sur l’escroquerie, L.________, ne s’attarde guère sur l’astuce. En revanche, K.________ s’exprime sur la question de l’astuce, non pas directement sur le cas 1, mais pour contester sa condamnation pour tentative d’escroquerie pour le cas 2 (cf. supra consid. 2.2.2 dans la partie « En fait »). L’examen de l’astuce est cependant le même pour les deux cas. Pour le prénommé, le fait que l’ordonnance ne prévoie pas expressément la vérification des données transmises ne signifie pas qu’il ne doit pas y avoir de vérification du tout, même simple. Un institut bancaire est tenu à une vigilance accrue et l’une des principales banques du pays doit disposer des infrastructures nécessaires à la vérification des demandes qui lui sont soumises. Dès lors, les formulaires qui lui ont été soumis par le prévenu n’étaient pas susceptibles de tromper la banque et il n’y aurait, dès lors, aucune astuce. Selon l’art. 3 al. 1 OCaS-COVID-19, l’organisation de cautionnement accorde sans formalités un cautionnement solidaire unique pour des crédits bancaires jusqu’à concurrence de 500'000 francs. En contrepartie, l’art. 11 al. 2 de ladite ordonnance oblige le requérant à confirmer par écrit ou par tout autre moyen permettant d’en établir la forme par un texte que les données figurant dans le formulaire de demande sont complètes et véridiques. L'art. 11 al. 3 OCaS-COVID-19 précise en outre que les organisations de cautionnement vérifient l'exhaustivité et l'exactitude formelle des demandes de cautionnement solidaire. Comme le plaide le Parquet, ce système correspond à la volonté politique affirmée lors de la promulgation de l’ordonnance d’aider rapidement et de manière non bureaucratique les entreprises en difficulté en raison de la pandémie. Cette aide soumise à des formes simplifiées ne se conçoit que si elle est accordée sur la confiance, et sans de longues vérifications qui en compromettraient l’efficacité. Ainsi, à l’exception de la procédure consistant à s’assurer de l’existence de l’entreprise requérante, puis, grâce au numéro de registre IDE, de vérifier si au moment du dépôt de la demande l’entreprise était en liquidation ou faisait l’objet d’une faillite (FF 2020 pp. 8165 ss, spéc. p. 8184 ; cf. ég. dans le même sens :</w:t>
      </w:r>
    </w:p>
    <w:p>
      <w:r>
        <w:t>- 28 - Marc Jean-Richard-dit-Bressel / Andrea Jug-Höhener, op. cit., p. 6), la mise en œuvre des infrastructures nécessaires à la vérification des demandes était exclue par le but même de l’ordonnance, ce qu’a également confirmé le témoin [...], conseiller bancaire auprès de P.________ qui a traité la demandé de crédit litigieuse (jugt, p. 11). En l’occurrence, au moment de sa (première) demande de crédit, K.________ était déjà inscrit, sous sa raison individuelle, au registre IDE (P. 57/2.7 ; cf. ég. jugt, p. 14, où le prévenu l’admet lui-même), sans quoi sa demande n’aurait vraisemblablement pas pu être acceptée, comme cela a été le cas ensuite pour la demande adressée au nom d’E.________ (jugt, p. 4 in fine). Par ailleurs, il ne résulte pas de l’extrait dudit registre que l’intéressé était formellement en faillite (sous « données du registre du commerce », à côté du « statut RC » figure le terme « Actif » ; cf. ég. consid. 3.3.2.1 supra), de sorte qu’on ne saurait reprocher à la banque d’avoir accordé le crédit en violation de l’obligation de vérification sur ce point, ce que le prévenu ne prétend d’ailleurs pas. Pour le reste, conscient que le nombre de demandes et la nécessité de les traiter rapidement rendraient impossible l’examen des autres données transmises, K.________ pouvait escompter que sa tromperie passerait inaperçue, ce qui s’est d’ailleurs produit pour le cas 1. Que la supercherie ait été débusquée pour le cas 2, parce qu’elle était trop grossière, ne permet pas de déduire que la banque aurait manqué de vigilance en accordant le crédit dans le cas 1. Dans la mesure indiquée ci-avant, l’OCaS-COVID-19 instituait, comme on l’a vu, un octroi de crédit sans vérification, ce que le prévenu savait et dont il a tiré profit, en violation d’une obligation de dire la vérité expressément prévue par ladite ordonnance, pour exercer sa tromperie sur des éléments – montant du chiffre d’affaires et atteinte sur le plan économique en raison de la pandémie – qui n’étaient pas aisément vérifiables, en tout cas dans le système mis en place par le Conseil fédéral. En effet, le prévenu a lui- même admis, s’agissant du chiffre d’affaires indiqué dans le formulaire, que dans la mesure où « [s]es crédits de construction étaient (…) à l’[...], P.________ n’avait pas une vision d’ensemble de [s]a situation » (jugt, p. 13). Il a obtenu de la sorte un enrichissement illégitime de 260'000 francs.</w:t>
      </w:r>
    </w:p>
    <w:p>
      <w:r>
        <w:t>- 29 - 3.3.2.3 Il résulte de ce qui précède que tous les éléments constitutifs de l'escroquerie sont réunis, de sorte que le prévenu doit être condamné pour cette infraction en relation avec le cas 1 (cf. supra consid. 2.2.1 dans la partie « En fait »). 4. 4.1 Le Ministère public et L.________, plaident que le faux dans les titres est réalisé également pour le cas 1. 4.2 4.2.1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Pour le cas du faux intellectuel, celui-ci résulte uniquement de l’altération de la vérité par le contenu de l’écrit. Cependant, pour qu’il y ait un faux intellectuel, il est encore nécessaire que le titre ait une valeur probante accrue (ATF 129 IV 134 consid. 2.1). L'art. 251 ch. 1 CP vise non seulement un titre faux ou la falsification d'un titre (faux matériel), mais aussi un titre mensonger (faux</w:t>
      </w:r>
    </w:p>
    <w:p>
      <w:r>
        <w:t>- 30 -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4.2.2 L'art. 11 al. 1 à 3 OCaS-COVID-19 prévoit que pour les crédits cautionnés au sens de l'art. 3, la transmission à la banque de la convention de crédit signée par le requérant est réputée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Dans un arrêt du 11 octobre 2021 (n° 371), la Cour de céans a retenu ce qui suit (consid. 3.1.3) : « Selon Marc Jean-Richard-dit-Bressel et Andrea Jug-Höhener, le requérant déclare les faits essentiels pour l'octroi du crédit lorsqu’il remplit et signe le formulaire de demande précité. Ce document signé sert d'unique preuve des conditions de versement d'un crédit. Les renseignements qu’il fournit entraînent donc une conséquence</w:t>
      </w:r>
    </w:p>
    <w:p>
      <w:r>
        <w:t>- 31 -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(Marc Jean-Richard-dit- Bressel / Andrea Jug-Höhener, Die Profiteure der Krise, in : Jusletter 3. August 2020, n° 32 et 33, pp. 11-12) ». 4.3 4.3.1 En l’occurrence, le Ministère public soutient que le formulaire de crédit COVID est destiné et propre à prouver les éléments essentiels à l’obtention du crédit, car les renseignements qui y figurent permettent d’obtenir automatiquement ce crédit puisqu’ils sont considérés comme vrais. Il s’agit donc d’un titre au sens de l’art. 110 al. 4 CP. En y faisant intentionnellement figurer des données fausses (notamment sur sa faillite), K.________ a produit intentionnellement un titre faux. L.________, invoque à peu près les mêmes arguments. De son côté, K.________ se prononce également sur l’accusation de faux dans les titres, dont il conteste qu’elle soit réalisée en ce qui concerne le cas 2. Cependant, là aussi, l’examen est le même pour les deux cas. Selon le prévenu, il faut d’abord noter qu’il n’a transmis aucun document falsifié. Il a simplement adressé un formulaire qu’il a confectionné lui-même, alors que ce document n’avait aucune force probante particulière du fait que lui-même n’occupait pas une position de garant. En plus, selon la jurisprudence, la mention préimprimée sur un formulaire selon laquelle le requérant confirme l’exactitude des renseignements fournis ne suffit pas à conférer une garantie objective de véracité à ce documents (Code pénal annoté, n. 1.9 ad art. 251 CP). Le document qu’il a remis ne présente pas une garantie de véracité accrue et</w:t>
      </w:r>
    </w:p>
    <w:p>
      <w:r>
        <w:t>- 32 - ne constitue donc pas un titre : il ne peut ainsi pas y avoir de faux dans les titres au sens de l’art. 251 CP. 4.3.2 On pourra donner acte à K.________ qu’il n’a transmis aucun document falsifié ; la question n’est cependant pas là, puisque ce n’est pas ce qu’on lui reproche et qu’il a lui-même confectionné le document en remplissant les rubriques du formulaire. Seule est pertinente la question de savoir si l’indication de renseignements sur le formulaire d’obtention du crédit confère à ce document la qualité de titre. A cet égard, dans le jugement attaqué, le tribunal de première instance, après avoir rappelé à raison la notion de titre telle que définie par la jurisprudence (cf. consid. 4.2.1 supra), a retenu que, de manière générale, le formulaire de prêt COVID doit être considéré comme un titre, puisque celui-ci fonde l'existence de la dette de l'emprunteur vis-à-vis de la banque, de sorte que les informations communiquées dans ledit formulaire entraînent une conséquence juridique considérable. On doit lui reconnaître une valeur probante accrue, puisqu’il s’agit du seul document demandé dans le cadre du mécanisme d’urgence mis en place (jugt, p. 28). Le tribunal a cependant considéré qu’il y avait un doute sur la fausseté des allégations mentionnées sur le formulaire du cas 1 (jugt, p. 28), de sorte que le faux dans les titres a été abandonné pour ce cas, au contraire du cas 2. Or, comme on l’a vu ci-avant, ce doute n’est pas confirmé (cf. consid. 3.3.2.1 supra), et il y aura donc une unité de destin pour les deux cas. S’agissant plus précisément du cas 1, comme dans l’affaire qui a donné lieu à l’arrêt CAPE 2021/371 du 11 octobre 2021 précité, le formulaire de demande de prêt COVID signé par le prévenu contient la clause suivante : « Le preneur de crédit a conscience qu’en fournissant des renseignements inexacts ou incomplets, il s’expose à des poursuites pénales pour fraude (art. 146 du code pénal), faux dans les titres (art. 251 du code pénal ), etc, passible d’une peine privative de liberté de 5 ans au plus ou d’une peine pécuniaire. En outre, est passible d'une amende jusqu’à 100'000 francs celui qui obtient un crédit au sens de l’ordonnance</w:t>
      </w:r>
    </w:p>
    <w:p>
      <w:r>
        <w:t>- 33 - sur les cautionnements solidaires en lien avec Covid-19 en fournissant intentionnellement des informations inexactes ou qui n’utilise pas les disponibilités de crédit pour couvrir les besoins de liquidités susmentionnés ». K.________ a signé ce formulaire valant convention de crédit en stipulant l'exactitude des informations qui y étaient contenues, alors qu’il y a fait figurer des données inexactes, notamment en ce qui concerne son chiffre d’affaires, comme retenu ci-dessus. Le document qu'il a signé est un titre faux, en raison de la valeur probante accrue résultant de l'art. 11 OCaS-COVID-19, disposition légale qui permet de considérer que l'auteur endosse la conformité du contenu de la demande de crédit avec la vérité. La condamnation pour faux dans les titres doit ainsi être prononcée pour ce cas. 5. 5.1 Le Ministère public soutient que le prévenu doit être reconnu coupable aussi de blanchiment d’argent. Il relève que les valeurs patrimoniales sont le produit de l’escroquerie, donc d’un crime, que l’argent a été transféré à des tiers ou utilisé à des fins inconnues, ce qui a entravé l’établissement d’un lien entre l’argent et le crime et a surtout empêché la confiscation, à l’image de celui qui verse de l’argent à l’étranger ou qui change des petites coupures contre des grosses. L.________, quant à elle, n’invoque pas le blanchiment d’argent dans la motivation de son appel. 5.2 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L'acte d'entrave doit être examiné de cas en cas, en fonction de l'ensemble des circonstances. Il doit être propre à entraver l'accès des</w:t>
      </w:r>
    </w:p>
    <w:p>
      <w:r>
        <w:t>- 34 -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 Cassani, Commentaire du droit pénal suisse, Partie spéciale, vol. 9 : Crimes ou délits contre l'administration de la justice, art. 303-311 CP, Berne 1996, n° 31 ad art. 305bis CP). L’autofavorisation est punissable (ATF 145 IV 335 consid. 3.1, JdT 2020 IV 15 ; ATF 126 IV 255 consid. 3a ; ATF 124 IV 274 consid. 3 ; ATF 120 IV 323 consid. 3). Le simple versement d'argent sur un compte bancaire personnel, ouvert au lieu du domicile de l'auteur de l'infraction qualifiée et servant aux paiements privés habituels, ne constitue pas un acte d'entrave au sens de l'art. 305bis ch. 1 CP (ATF 124 IV 274 consid. 4a). La consommation n’est pas non plus un acte d’entrave (Cassani, op. cit., n° 34 ad art. 305bis CP). Tombe en revanche sous le coup de cette disposition le placement d'argent provenant d'un crime chaque fois que le mode ou la manière d'opérer ne peut être assimilé au simple versement d'argent liquide sur un compte (ATF 119 IV 242 consid. 1d). Le transfert de la propriété, le paiement d'argent sur un compte ouvert au nom d'un titulaire qui n'en est pas l'ayant droit économique, le virement des fonds à l'étranger, le fait de passer de l'argent provenant d'une escroquerie d'un compte à un autre sont des actes d'entrave (Dupuis et al. [éd.], Petit Commentaire du Code pénal, Bâle 2017, 2e éd., n. 29 ad art. 305bis CP ; ATF 120 IV 323).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 TF 6B_649/2015 du 4 mai 2016 consid. 1.4 ; TF 6B_900/2009 du 21 octobre 2010 consid. 4.3 non publié in ATF 136 IV 179 et les références citées).</w:t>
      </w:r>
    </w:p>
    <w:p>
      <w:r>
        <w:t>- 35 -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6B_160/2020 du 26 mai 2020 consid. 4.2 et les références citées). 5.3 En l’occurrence, les actes de K.________ ont consisté à effectuer des versements à des tiers, de compte à compte. Cet état de fait est fondamentalement différent de celui de l’arrêt CAPE 2021/371 du 11 octobre 2021 précité, où le prévenu avait, le jour même de l’obtention du crédit COVID, effectué un retrait en espèces du compte concerné, puis remis une partie en cash à son frère et utilisé le solde pour rembourser des dettes privées, de sorte que les mouvements des avoirs n’avaient pas pu être suivis au moyen de documents bancaires. Dans le cas d’espèce, le compte utilisé par K.________ liste tous les versements de compte à compte, ce qui n’a pas empêché le suivi des valeurs patrimoniales à l'aide de documents bancaires (« paper trail » [P. 4]), puisque le Ministère public a pu reproduire leur parcours dans l’acte d’accusation, de sorte que la destination des fonds a pu être identifiée. Certes, les valeurs n’existent plus dans la sphère de propriété du prévenu, mais cela ne suffit pas à constituer un acte d’entrave au sens de l’art. 305bis ch. 1 CP, à l’instar de la simple consommation ou du versement d’argent sur un compte bancaire personnel servant aux paiements privés habituels (cf consid. 5.2 supra) ; on ne se trouve pas dans le cas où, par exemple, un auteur envoie de l’argent à l’étranger pour son compte et empêche la confiscation de valeurs qui existent encore. Il s’ensuit que le blanchiment n’est pas réalisé. Il y a ainsi lieu de confirmer l’acquittement de K.________ pour cette infraction.</w:t>
      </w:r>
    </w:p>
    <w:p>
      <w:r>
        <w:t>- 36 - En définitive, pour le cas 1 (cf. supra consid. 2.2.1 dans la partie « En fait »), K.________ doit être reconnu coupable d’escroquerie (cf. consid. 3.3.2.3 supra) et de faux dans les titres (cf. consid. 4.3.2 supra). 6. 6.1 K.________ conteste sa condamnation pour tentative d’escroquerie en relation avec le cas 2 de l’acte d’accusation (cf. supra consid. 2.2.2 dans la partie « En fait »). Même si le propos n’est pas parfaitement clair, il conteste essentiellement l’astuce. Comme déjà relevé, il soutient que la banque avait un devoir de vérification, qui portait notamment sur le fait que le demandeur de crédit devait disposer d’un numéro de registre IDE. Or, la raison sociale indiquée par K.________ pour l’obtention du second crédit n’en avait pas. En plus, un seul crédit par personne pouvait être accordé. Le respect de ces deux conditions, à l’évidence non respectées, était facilement vérifiable et l’institut bancaire s’en est d’ailleurs aperçu, puisqu’aucune suite n’a été donnée à cette demande de crédit. 6.2 Les éléments constitutifs de l’infraction d’escroquerie ont été rappelés plus haut (cf. consid. 3.2.1 supra). 6.3 On peut d’ores et déjà relever qu’en plaidant le défaut d’astuce uniquement, K.________ admet implicitement la tromperie. En d’autres termes, il ne conteste pas avoir voulu tromper la banque. Il est vraisemblable qu’il a cherché à exploiter le fait que la banque n'effectuerait pas de vérifications. Cependant, comme relevé ci-avant (cf. consid. 3.3.2.2 supra), des mécanismes et des contrôles ont été mis en place dans la phase de dépôt des demandes de crédits, afin de minimiser les risques d’erreur et d’abus (FF 2020 pp. 8165 ss, spéc. p. 8184, précitée), consistant à vérifier l'exhaustivité et l'exactitude formelle des demandes de cautionnement solidaire, comme le prévoit l'art. 11 al. 3 OCaS-COVID-19. Or, en l’espèce, l’ « l'exactitude formelle » de la demande faisait défaut sur des éléments essentiels. Si la banque avait libéré les fonds, on lui aurait clairement reproché de n’avoir pas procédé aux</w:t>
      </w:r>
    </w:p>
    <w:p>
      <w:r>
        <w:t>- 37 - vérifications élémentaires que l'on pouvait attendre d'elle au vu des circonstances et il aurait fallu constater qu’elle aurait été co-responsable du dommage en versant un second montant à une seule et même personne, qui plus est pour une raison sociale (E.________) dépourvue de numéro de registre IDE. L’astuce est donc exclue, de sorte qu’il convient de libérer K.________ du chef d’accusation de tentative d’escroquerie pour ce cas. 7. 7.1 K.________ conteste ensuite que le formulaire de demande de crédit au nom d’E.________ constitue un titre, de sorte que la condamnation pour faux dans les titres est exclue. 7.2 Cette question a déjà été traitée au considérant 4 ci-dessus en relation avec le cas 1. Or, l’examen étant le même pour le cas 2 (cf. supra consid. 2.2.2 dans la partie « En fait »), force est de constater, pour les motifs déjà exposés (cf. consid. 4.3 supra), que le document que le prévenu a signé dans le cadre de sa demande de crédit pour E.________ est un titre faux. Peu importe que l’intéressé ait été libéré du chef d’accusation de tentative d’escroquerie pour ce cas au motif que l’astuce n’était pas avérée, puisqu’il n’y a aucun doute sur la fausseté des allégations mentionnées sur le formulaire en question (cf. consid. 6.3 supra). La condamnation pour faux dans les titres doit par conséquent être confirmée pour ce cas également. 8. 8.1 Vu, d’une part, la condamnation du prévenu pour le cas 1 de l’acte d’accusation et, d’autre part, sa libération partielle pour le cas 2, il y a lieu de refixer la peine. 8.2</w:t>
      </w:r>
    </w:p>
    <w:p>
      <w:r>
        <w:t>- 38 - 8.2.1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8.2.2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w:t>
      </w:r>
    </w:p>
    <w:p>
      <w:r>
        <w:t>- 39 -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 8.2.3 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w:t>
      </w:r>
    </w:p>
    <w:p>
      <w:r>
        <w:t>- 40 -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6B_1082/2020 du 19 juillet 2021 consid. 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défaut de prise de conscience de la faute peut justifier un pronostic défavorable, car seul celui qui se repent de son acte mérite la confiance que l'on doit pouvoir accorder au condamné bénéficiant d'un sursis (TF 6B_1082/2020 précité consid. 3.1 ; TF 6B_1176/2020 du 2 juin 2021 consid. 3.1). 8.3</w:t>
      </w:r>
    </w:p>
    <w:p>
      <w:r>
        <w:t>- 41 - 8.3.1 K.________, qui a été libéré des chefs d’accusation de tentative d’escroquerie, de blanchiment d’argent et de contravention à l’OCaS- COVID-19, doit répondre des infractions d’escroquerie et de faux dans les titres, passibles chacune d’une peine privative de liberté de cinq ans au plus ou d'une peine pécuniaire. La culpabilité de K.________ est lourde. Comme relevé à juste titre par le Ministère public, le prénommé a, en créant deux titres faux, porté une atteinte grave à la confiance que l’on doit pouvoir placer dans les titres et à la loyauté dans les rapports commerciaux. Par ailleurs, le préjudice économique qu’il visait était de 760'000 francs. Mû par l’appât du gain, il n’a pas hésité à profiter d’une situation de crise sanitaire, économique et sociale et à détourner le système mis en place à son bénéfice, au détriment de ceux qui en avaient réellement besoin et des contribuables, agissant ainsi sans le moindre scrupule. A cela s’ajoute que son activité délictueuse s’est étendue sur quelques jours, pendant lesquels son énergie criminelle a été d’autant plus intense puisqu’il a agi à deux reprises. En outre, l’intéressé, de nationalité suisse, marié et père de famille, bénéficiait d’une bonne situation personnelle, travaillant en tant qu’indépendant dans le domaine de l’immobilier, ayant une solide expérience de la vie et étant en bonne santé. S’il avait des problèmes financiers, force est toutefois de constater qu’après avoir obtenu indûment le crédit de 260'000 fr., il disposait de suffisamment de ressources pour éviter de récidiver trois jours plus tard en demandant un montant encore plus important. On retiendra encore, à charge, le concours d’infractions, ses antécédents, le prévenu ayant déjà été condamné à deux reprises, en juillet 2016 et juillet 2018, pour des infractions de même genre (abus de confiance, escroquerie et faux dans les titres), ainsi que le fait qu’il a récidivé durant le délai d’épreuve assortissant sa dernière condamnation. Enfin, K.________ n’a fait preuve d’aucune introspection, aucun repentir et aucune prise de conscience, persistant à soutenir que c’est sur conseil de l’employé de la banque qu’il a déposé la deuxième demande de crédit (p. 4 supra), ce que ce dernier a démenti (jugt, p. 10). Si, devant les premiers juges, K.________ s’est dit disposer à rembourser à la plaignante le prêt à hauteur de 20'000 fr. par an dès 2022 (jugt, p. 14), ce qu’il a confirmé en</w:t>
      </w:r>
    </w:p>
    <w:p>
      <w:r>
        <w:t>- 42 - appel (p. 4 supra), force est toutefois de constater qu’il n’a encore rien remboursé à ce jour, alors qu’il admet que ses sociétés se portent bien et qu’il gagne environ 200'000 fr. par an depuis cette année (p. 5 supra). Pour des motifs de prévention spéciale, au moment de prononcer la troisième condamnation du prévenu, c'est bien une peine privative de liberté qui doit être prononcée pour chacune des infractions. L'infraction la plus grave est l'escroquerie qui doit être sanctionnée d'une peine privative de liberté de 10 mois, augmentée de 4 mois pour chaque faux dans les titres afin de tenir compte du concours. On aboutit ainsi à une peine privative de liberté globale de 18 mois. 8.3.2 Le Ministère public conclut à une peine ferme. Il insiste sur les deux condamnations figurant au casier judiciaire de K.________, qui portent déjà sur des infractions contre le patrimoine. Ces condamnations ne l’ont pas dissuadé de récidiver, qui plus est dans le délai d’épreuve de la seconde condamnation qui lui accordait déjà un sursis dont il n’a pas su se montrer digne. En outre, le prévenu persiste dans son déni et n’a opéré aucune prise de conscience, continuant ses activités financières opaques. Le pronostic est entièrement défavorable. Pour leur part, les premiers juges ont considéré que vu les antécédents du prévenu, condamné par deux fois pour des infractions contre le patrimoine, le pronostic est certes en soi défavorable. Il s’agit cependant aujourd’hui de la première condamnation à une peine privative de liberté dans son parcours et le tribunal veut croire que l’exécution d’une partie seulement de celle-ci, avec la menace de devoir purger le solde de la peine en cas de nouvelle infraction, aura un effet suffisant sur le prévenu pour que celui-ci s’amende définitivement (jugt, p. 30-31). La Cour de céans partage l’appréciation des premiers juges, qui est pertinente. En effet, le choix du sursis partiel portant sur la moitié de la peine est judicieux pour tenir compte à la fois des récidives du prévenu, de ses vaines dénégations qui trahissent une absence de prise de conscience et de l'effet de choc qu'exercera l'exécution d'une partie de</w:t>
      </w:r>
    </w:p>
    <w:p>
      <w:r>
        <w:t>- 43 - la peine privative de liberté. La peine ferme à exécuter sera donc de 9 mois. Les magistrats ont fixé la durée d’épreuve assortissant le sursis partiel à 4 ans, ce qui est adéquat. Enfin, la révocation du sursis octroyé en 2018 doit être confirmée pour les motifs – complets – exposés par les premiers juges, que la Cour de céans fait siens et auxquels il peut être renvoyé (art. 82 al. 4 CPP ; jugt, p. 31). 9. 9.1 L’appelante conclut à ce que le prévenu soit reconnu son débiteur et lui doive immédiat paiement du montant de 260'000 francs. 9.2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w:t>
      </w:r>
    </w:p>
    <w:p>
      <w:r>
        <w:t>- 44 - 629 ; TF 6B_422/2020 du 9 juin 2020 consid. 2.1.4). Selon l’art. 42 al. 1 CO, la preuve du dommage incombe au demandeur. 9.3 En l’occurrence, dans la mesure où le prévenu a été condamné pour escroquerie et faux dans les titres en relation avec le cas 1, soit pour un acte illicite, le dommage causé à la partie plaignante est établi et doit être réparé. Les agissements reprochés au prévenu ayant permis à ce dernier d’obtenir un prêt cautionné par l’appelante de 260'000 fr., il y a lieu de fixer la créance due par K.________ envers L.________, en réparation de son préjudice, à hauteur de ce montant. 10. 10.1 L.________, demande l'allocation des avoirs séquestrés en sa faveur. Elle soutient que le solde de l'argent bloqué sur le compte du prévenu correspond, à l’exception d’un montant de 500 fr. versé par un tiers, au solde du crédit COVID qui n'a pas été dépensé et en demande l'attribution ou la restitution en invoquant une violation de l'art. 267 CPP. Le Ministère public prend une conclusion identique en restitution de la somme séquestrée à L.________, sur la base de l’art. 70 al. 1 CP. 10.2 Conformément à l'art. 73 al. 1 let. b CP, l'allocation au lésé peut notamment se rapporter à des valeurs patrimoniales confisquées en vertu de l'art. 70 CP, auquel cas les conditions de cette mesure doivent elles-mêmes être réalisées (ATF 145 IV 237 consid. 3.2 ; TF 6B_474/2018 du 17 décembre 2018 consid. 3.1 et les références citées).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- 45 -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 En présence d'infractions dirigées contre des intérêts individuels, notamment la propriété et le patrimoine (art. 137 ss CP),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l'art. 73 CP. La restitution directe en vertu de l'art. 70 al. 1 i.f. CP prime par conséquent une éventuelle confiscation, de même qu'une allocation ultérieure au lésé en réparation du dommage subi. En effet, l'Etat ne doit pas s'enrichir aux dépens du lésé ;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et les références citées). Lorsque, dans ce contexte, la confiscation est néanmoins prononcée, l'art. 73 al. 1 let. b CP permet alors, à titre subsidiaire, l'allocation au lésé. Sur ce plan, le Tribunal fédéral a souligné dans sa jurisprudence que le mécanisme d'allocation prévu par l'art. 73 CP correspond à la préoccupation, déjà exprimée sous l'empire de l'ancien</w:t>
      </w:r>
    </w:p>
    <w:p>
      <w:r>
        <w:t>- 46 - droit, d'éviter qu'une mesure de confiscation aboutisse à enrichir l'Etat au détriment du lésé, direct ou indirect (ATF 145 IV 237 consid. 3.2.3 et les références citées). 10.3 En l’espèce, les montants séquestrés doivent être restitués directement à la lésée en rétablissement de ses droits selon l'art. 70 al. 1 i.f. CP, dans la mesure où il n’est pas contesté que la totalité des montants séquestrés (sauf les 500 fr. versés par un tiers) provient exclusivement du prêt COVID. Les 500 fr. versés par un tiers seront quant à eux confisqués et alloués à la lésée par le mécanisme des art. 71 et 73 CP. Les appels de L.________, et du Ministère public doivent donc être admis sur ce point. 11. 11.1 L.________, se plaint encore d’une violation de l’art. 71 CP en raison du rejet de sa conclusion tendant au prononcé d’une créance compensatrice à lui allouer. Selon elle, une créance compensatrice aurait dû être prononcée à hauteur du montant dépensé, soit 170'129 fr. 10, puis lui être allouée. Le Ministère public prend une conclusion identique dans son fondement, mais il la chiffre à 170'009 fr. 09. 11.2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A teneur de l'art. 73 al. 1 let. c CP, si un crime ou un délit a causé à une personne un dommage qui n'est couvert par aucune assurance et s'il y a lieu de craindre que l'auteur ne réparera pas le dommage ou le tort moral, le juge alloue au lésé, à sa demande, jusqu'à</w:t>
      </w:r>
    </w:p>
    <w:p>
      <w:r>
        <w:t>- 47 - concurrence des dommages-intérêts ou de la réparation morale fixés par un jugement ou par une transaction, les créances compensatrices. Le juge ne peut toutefois ordonner cette mesure que si le lésé cède à l'Etat une part correspondante de sa créance (art. 73 al. 2 CP). 11.3 En l’espèce, le jugement mentionne, sans être contredit en appel, qu’un montant de 89'990 fr. 91 a été séquestré sur le compte du prévenu IBAN [...]. Si on retire du séquestre le montant de 500 fr. dont L.________, admet qu’il est de provenance tierce, le séquestre est levé en faveur de l’appelante à hauteur de 89'490 fr. 91. Il faudrait prononcer une créance compensatrice de 170'509 fr. 09. La Cour de céans étant cependant limitée par les conclusions des appelants sur ce point, il y a lieu de prononcer une créance compensatrice à hauteur de la conclusion la plus élevée, soit celle de L.________, à savoir 170'129 fr. 10. 12. K.________ étant en définitive condamné pour les deux cas de l’acte d’accusation, même si des qualifications juridiques ont été abandonnées, il doit donc assumer l’entier des frais de première instance et il n’a pas droit à une indemnité au sens de l’art. 429 CPP. L.________, qui a procédé avec le concours d’un conseil de choix et qui a obtenu gain de cause en première instance, a conclu à l’allocation d’une indemnité d’un montant de 5'518 fr. 55 pour ses frais de défense au sens de l’art. 433 CPP. Cette prétention étant justifiée et raisonnable, elle sera admise telle quelle. 13. 13.1 En conclusion, l’appel de K.________ est partiellement admis, dans la mesure où il est libéré du chef d’accusation de tentative d’escroquerie. L’appel de L.________, est également partiellement admis, l’appelante ayant gain de cause sur l’ensemble de ses griefs, sauf sur la question du blanchiment d’argent. Il en va de même de l’appel du Ministère public, qui est admis sur tout, excepté sur la question du</w:t>
      </w:r>
    </w:p>
    <w:p>
      <w:r>
        <w:t>- 48 - blanchiment d’argent ainsi que sur la quotité de la peine et le sursis. Le jugement entrepris sera réformé dans le sens des considérants qui précèdent. 13.2 Vu l’issue de la cause, les frais de la procédure d'appel, par 4'770 fr. (art. 21 al. 1 et 2 TFIP), seront mis à la charge de K.________ par quatre cinquièmes, soit par 3'816 fr., le solde étant laissé à la charge de l’Etat. K.________, qui obtient partiellement gain de cause et qui a procédé avec l'assistance d'un défenseur de choix, a droit à une indemnité pour les dépenses occasionnées par l'exercice raisonnable de ses droits en procédure d’appel au sens de l'art. 429 al. 1 let. a CPP. Celle-ci sera toutefois réduite dans la même proportion que les frais mis à sa charge. K.________ a chiffré ses prétentions pour la procédure de deuxième instance à hauteur de 5'002 fr. 90 (P. 71). Réduit de quatre cinquièmes, c’est donc une indemnité de 1'000 fr. 60 qui lui sera allouée pour l’exercice raisonnable de ses droits en procédure d’appel. En application de l’art. 442 al. 4 CPP qui prévoit que les autorités pénales peuvent compenser les créances portant sur des frais de procédure avec les indemnités accordées à la partie débitrice dans la même procédure pénale, l’indemnité allouée conformément à l’art. 429 al. 1 let. a CPP doit être compensée à due concurrence avec la part des frais de procédure mise à la charge du prévenu. L.________, qui a procédé avec le concours d’un conseil de choix, requiert une indemnité de 12'846 fr. 25, TVA et débours compris, pour les dépenses obligatoires occasionnées par la procédure d’appel au sens de l’art. 433 CPP, selon la liste d’opérations produite (P. 70), laquelle n’appelle aucune remarque particulière et qui peut ainsi être admise. Cette indemnité sera mise à la charge de K.________. Enfin, il y a lieu de rectifier d’office, en application de l’art. 83 CPP, l’énumération des dispositions légales appliquées, en tête du</w:t>
      </w:r>
    </w:p>
    <w:p>
      <w:r>
        <w:t>- 49 - dispositif du jugement d’appel notifié aux parties le 9 mai 2022, par l’ajout de la référence au CP à la suite de l’art. 251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