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PE20.008437 vom 1. Juli 2022</w:t>
      </w:r>
    </w:p>
    <w:p>
      <w:r>
        <w:t>VD Tribunal cantonal, 2022-07-01, FR</w:t>
      </w:r>
    </w:p>
    <w:p>
      <w:r>
        <w:rPr>
          <w:b/>
        </w:rPr>
        <w:t xml:space="preserve">Quelle: </w:t>
      </w:r>
      <w:r>
        <w:t>https://mcp.opencaselaw.ch/entscheid/vd_gerichte_PE20.008437</w:t>
      </w:r>
    </w:p>
    <w:p>
      <w:r>
        <w:t>FR: VD_GERICHTE PE20.008437 du 1 juillet 2022</w:t>
      </w:r>
    </w:p>
    <w:p>
      <w:r>
        <w:t>IT: VD_GERICHTE PE20.008437 del 1 luglio 2022</w:t>
      </w:r>
    </w:p>
    <w:p>
      <w:pPr>
        <w:pStyle w:val="Heading2"/>
      </w:pPr>
      <w:r>
        <w:t>Erwägungen</w:t>
      </w:r>
    </w:p>
    <w:p>
      <w:r>
        <w:rPr>
          <w:b/>
        </w:rPr>
        <w:t>E. 6.1</w:t>
      </w:r>
    </w:p>
    <w:p>
      <w:r>
        <w:t>Les deux appelants requièrent qu’il soit renoncé à leur expulsion, subsidiairement que sa durée soit réduite à 5 ans, sans inscription au SIS.</w:t>
      </w:r>
    </w:p>
    <w:p>
      <w:r>
        <w:t>- 30 - A.J.________ plaide qu’il devrait être mis au bénéfice de la clause de rigueur de l’art. 66a al. 2 CP et fait valoir que son inapplication serait constitutive d’une violation de l’art. 8 CEDH. Il se prévaut à cet égard de la longue durée de son séjour en Suisse, où il réside depuis plus de 20 ans, du fait qu’il est marié et père de trois enfants nés en Suisse et qu’il y aurait toutes ses attaches. Il n’aurait ni famille ni amis en Macédoine du Nord. Son intérêt à rester en Suisse l’emporterait ainsi sur celui de l’Etat à son éloignement. Il soutient encore qu’aucun des antécédents ressortant de son casier judiciaire ne serait d’une gravité telle qu’il permettrait son expulsion et que la peine prononcée en 2010 ne pourrait pas être prise en considération en raison de l’écoulement du temps. Il se plaint également d’un défaut de motivation s’agissant de l’inscription de la mesure au SIS. B.J.________ plaide en particulier que le Tribunal correctionnel n’aurait pas analysé réellement sa situation particulière ni tenu compte des éléments du dossier. S’agissant de ses antécédents, aucun ne faisait partie du catalogue de l’art. 66a CP. Les actes antérieurs au 1er octobre 2016 ne pourraient pas être pris en compte. Par ailleurs, alors qu’il consommait beaucoup avant sa détention, ce ne serait plus le cas maintenant et il voudrait travailler, se marier et fonder une famille. Il a fourni différentes promesses d’embauche (P. 116 et 148) et il serait respecté de ses anciens employeurs (cf. jugement p. 13). La poursuite de son séjour en Suisse ne serait ainsi pas incompatible avec l’intérêt public. L’appelant fait valoir en particulier qu’il aurait été erroné de retenir qu’il émargeait aux services sociaux ou que sa situation professionnelle serait instable depuis plusieurs années. Il réside en Suisse depuis longtemps, s’occuperait de ses neveux (cf. jugement p. 13) et se montrerait particulièrement protecteur envers son frère (cf. jugement p. 36). Il aurait prévu de se marier avec sa fiancée. Si l’expulsion devait tout de même être prononcée, ce devrait être pour la durée minimale de 5 ans et sans inscription au SIS, le premier juge n’ayant pas motivé les motifs de cette inscription.</w:t>
      </w:r>
    </w:p>
    <w:p>
      <w:r>
        <w:t>- 31 -</w:t>
      </w:r>
    </w:p>
    <w:p>
      <w:r>
        <w:rPr>
          <w:b/>
        </w:rPr>
        <w:t>E. 6.2.1</w:t>
      </w:r>
    </w:p>
    <w:p>
      <w:r>
        <w:t>Selon l'art. 66a al. 1 let. o CP, le juge expulse de Suisse, pour une durée de cinq à quinze ans, l'étranger qui est condamné, notamment, pour infraction à l’art. 19 al. 2 LStup. L’art. 66a CP prévoit ainsi l’expulsion obligatoire de l’étranger condamné pour l’une des infractions ou combinaisons d’infractions listées à l’al. 1, quelle que soit la quotité de la peine prononcée à son encontre.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6.2.2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 TF 6B_690/2019 précité consid. 3.4.2). Selon la jurisprudence (ATF 144 IV 332 consid. 3.3.2 ; TF 6B_690/2019 précité consid. 3.4),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w:t>
      </w:r>
    </w:p>
    <w:p>
      <w:r>
        <w:t>- 32 - la scolarité des enfants, de la situation financière, de la durée de la présence en Suisse, de l’état de santé ainsi que des possibilités des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l’art. 13 Cst. et par le droit international, en particulier l’art. 8 CEDH (Convention de sauvegarde des droits de l’homme et des libertés fondamentales conclue à Rome le 4 novembre 1950 ; RS 0.101) (TF 6B_1417/2019 précité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6B_379/2021 du 30 juin 2021 consid. 1.2 ; TF 6B_153/2020 du 28 avril 2020 consid. 1.3.2). Un séjour légal de dix années suppose en principe une bonne intégration de l’étranger (ATF 144 I 266 consid. 3.9). Par ailleurs, un étranger peut se prévaloir de l’art. 8 § 1 CEDH (et de l’art. 13 Cst.) pour autant qu’il entretienne une relation étroite et effective avec une personne de sa famille ayant le droit de résider</w:t>
      </w:r>
    </w:p>
    <w:p>
      <w:r>
        <w:t>- 33 - durablement en Suisse (ATF 144 II 1 consid. 6.1 ; ATF 139 I 330 consid. 2.1 ; TF 6B_379/2021 précité consid. 1.2). Les relations familiales visées par l’art. 8 § 1 CEDH sont avant tout celles qui concernent la famille dite nucléaire, soit celles qui existent entre époux ainsi qu’entre parents et enfants mineurs vivant en ménage commun (ATF 144 II 1 consid. 6.1 ; ATF 135 I 143 consid. 1.3.2 ; TF 6B_379/2021 précité consid. 1.2). Par ailleurs, il n'y a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par. 2 CEDH (ATF 144 I 91 consid. 4.2 ; ATF 140 I 145 consid. 3.1 ; TF 6B_38/2021 du 14 février 2022 consid. 5.1.2). Selon la jurisprudence de la CourEDH, dans la mesure où elle porte atteinte à un droit protégé par l'art. 8 par. 1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cf. ATF 139 I 145 consid. 2.4 ; ATF 139 I 31 consid. 2.3.3 ; TF 6B_855/2020 précité consid. 3.2.5 ; TF 6B_693/2020 du 18 janvier 2021 consid. 7.1.1). La question de savoir si l'atteinte à la garantie de la vie familiale est « nécessaire » au sens de l'art. 8 par. 2 CEDH implique en outre de prendre en considération les critères suivants : la nationalité des diverses personnes concernées ; la situation familiale de l'intéressé, notamment, le cas échéant, la durée de</w:t>
      </w:r>
    </w:p>
    <w:p>
      <w:r>
        <w:t>- 34 - son mariage, et d'autres facteurs témoignant de l'effectivité d'une vie familiale au sein d'un couple ; la question de savoir si le conjoint avait connaissance de l'infraction à l'époque de la création de la relation familiale ; la question de savoir si des enfants sont issus du mariage et, dans ce cas, leur âge, ainsi que la gravité des difficultés que le conjoint et les enfants risquent de rencontrer dans le pays vers lequel l'intéressé doit être expulsé (cf. arrêts de la CourEDH Z. c. Suisse du 22 décembre 2020 [requête n° 6325/15, § 57] ; I.M. c. Suisse du 9 avril 2019 [requête n° 23887/16], § 69 ; Kissiwa Koffi c. Suisse du 15 novembre 2012 [requête n° 38005/07], § 63 ; Üner c. Pays-Bas du 18 octobre 2006, [requête n° 46410/99], § 57 s. ; Sezen c. Pays-Bas du 31 janvier 2006 [requête n° 50252/99], § 42 ; Boultif précité, § 48 ; voir également TF 6B_855/2020 précité consid. 3.3.1 ; TF 6B_249/2020 du 27 mai 2021 consid. 5.4.1 ; TF 6B_131/2019 du 27 septembre 2019 consid. 2.5.3). La CourEDH a précisé que si des enfants sont concernés, leur intérêt supérieur doit également être pris en compte en tant qu'élément essentiel de la mise en balance des intérêts (arrêts de la CourEDH du 22 décembre 2020 [requête n° 43936/18], § 56 ; aussi : ATF 143 I 21 consid. 5.5.1 ; TF 6B_1275/2020 du 4 mars 2021 consid. 1.4.3). La CourEDH considère que, dans le cas de relations familiales intactes avec des droits de garde et d'autorité parentale conjoints des parents, l'expulsion entraîne une rupture de la relation étroite de l'enfant avec l'un des parents si l'on ne peut raisonnablement s'attendre à ce que les autres membres de la famille et en particulier l'autre parent, qui a également des droits de garde et d'autorité parentale, s'installent dans le pays d'origine de l'autre parent. Cela ne va pas dans le sens de l'intérêt supérieur de l'enfant et fait donc en principe obstacle à l'expulsion. Une expulsion qui conduit à la séparation de la communauté familiale précédemment intacte des parents et des enfants constitue une très grave atteinte au droit au respect de la vie familiale protégé par l'art. 8 par. 1 de la CEDH (voir les arrêts de la CourEDH Sezen précité, § 49 ; Mehemi c. France (n° 2) du 10 avril 2003 [requête n° 53470/99], § 45 ; TF 6B_855/2020 précité consid. 3.3.2). La décision de renvoi ne peut être prise dans ce cas qu'après une mise en balance approfondie et complète des intérêts et uniquement sur la base</w:t>
      </w:r>
    </w:p>
    <w:p>
      <w:r>
        <w:t>- 35 - de considérations ayant suffisamment de poids et de solidité (TF 6B_1465/2020 du 18 novembre 2021 consid. 4.3.1 ; voir arrêts de la CourEDH Olsson c. Suède (n° 1) du 24 mars 1988 [requête n° 10465/83], § 72, cité dans l'arrêt CourEDH Mehemi précité ; voir aussi : TF 6B_855/2020 précité consid. 3.3.2). 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 art. 33 de la Convention du 28 juillet 1951 relative au statut des réfugiés [RS 0.142.30] ; art. 3 de la Convention du</w:t>
      </w:r>
    </w:p>
    <w:p>
      <w:r>
        <w:rPr>
          <w:b/>
        </w:rPr>
        <w:t>E. 6.2.3</w:t>
      </w:r>
    </w:p>
    <w:p>
      <w:r>
        <w:t>Le juge doit fixer la durée de l'expulsion dans la fourchette prévue de cinq à quinze ans, en tenant compte notamment du principe de la proportionnalité (Message du Conseil fédéral concernant une modification du code pénal et du code pénal militaire du 26 juin 2013, FF 2013 pp. 5373 ss, spéc. p. 5416). Le critère d’appréciation déterminant, lorsqu’il s’agit de se prononcer sur la durée d’une mesure d’expulsion, est la nécessité de protéger la société pendant un certain temps, en fonction de l’importance du bien juridique menacé, respectivement de la gravité de l’atteinte qui pourrait y être portée, de la dangerosité de l’auteur, du risque qu’il récidive, de la gravité des infractions qu’il est susceptible de commettre à l’avenir et des liens d'attache avec le pays d'accueil, à l’exclusion de toute considération relative à la gravité de la faute commise (TF 6B_861/2018 du 24 octobre 2018 consid. 2.6 ; TF 6B_1043/2017 du 14 août 2018 consid. 3.1.3 ; Grodecki/Jeanneret, L’expulsion judiciaire in : Droit pénal – évolutions en 2018, Bâle 2017, n. 32, 40, 41 et 42). La durée de l’expulsion doit davantage être fixée en fonction de l’importance de</w:t>
      </w:r>
    </w:p>
    <w:p>
      <w:r>
        <w:t>- 36 - l’intérêt public à l’expulsion du condamné et de la proportionnalité de l’atteinte à sa vie privée qu’en comparaison avec la peine prononcée (TF 6B_242/2019 du 18 mars 2019 consid.1.3). En particulier, l’expulsion d’un auteur d'infractions graves à la LStup, mettant en danger la santé de nombreuses personnes, doit permettre de protéger la société et l'ordre public (cf. not. TF 6B_93/2021 du 6 octobre 2021 consid. 5.1 ; TF 6B_894/2020 du 26 novembre 2020 consid. 3.3 et 3.4).</w:t>
      </w:r>
    </w:p>
    <w:p>
      <w:r>
        <w:rPr>
          <w:b/>
        </w:rPr>
        <w:t>E. 6.2.4</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 ss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w:t>
      </w:r>
    </w:p>
    <w:p>
      <w:r>
        <w:t>- 37 - administrative de non-admission et d’interdiction de séjour conformément à son droit national et émis un signalement national aux fins de non- 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des indications claires de son intention de commettre une telle infraction sur le territoire d'un État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6.3</w:t>
      </w:r>
    </w:p>
    <w:p>
      <w:r>
        <w:t>Concernant B.J.________, sa culpabilité est lourde. L’activité délictuelle a été intense et de longue durée. Son casier judiciaire comprend plusieurs inscriptions, la première en 2015 pour vol d’usage et la dernière en août 2020 pour délits et contravention à la LStup. Lors de son interpellation, le trafic de cannabis durait depuis 7 ans. Ainsi, comme retenu par les premiers juges, B.J.________ est un délinquant de longue</w:t>
      </w:r>
    </w:p>
    <w:p>
      <w:r>
        <w:t>- 38 - date qui, par son comportement, montre son mépris des règles légales suisses. Contrairement à ce qu’il prétend, tous ses antécédents sont pertinents pour évaluer la prépondérance de l’intérêt public à son expulsion sans qu’il s’agisse de limiter l’examen aux infractions listées à l’art. 66a CP. Il n’est en outre pas intégré sur le marché du travail, étant sans emploi depuis le printemps 2020. Sa proposition d’embauche datant du 6 mai 2022 n’est plus pertinente sept mois plus tard, alors que le potentiel employeur avait spécifié qu’il serait préférable que B.J.________ puisse commencer à travailler rapidement (P. 148). On peut donc douter des déclarations de ce dernier sur le fait que cet éventuel employeur lui aurait réitéré son intérêt à l’engager, alors qu’il se trouve toujours en détention. Il déclare par ailleurs souhaiter se marier, avoir des enfants et travailler, mais rien ne s’est concrétisé jusqu’à présent. Le fait qu’il protège son grand frère apparaît comme une posture procédurale et non un argument en faveur d’un cas de rigueur. Quant à ses neveux, outre le fait qu’ils pourraient également quitter la Suisse, le lien n’apparaît pas de nature à faire primer l’intérêt privé de l’appelant à rester en Suisse. Son intégration est déficiente et l’expulsion de B.J.________, qui est obligatoire, doit être prononcée. Concernant A.J.________, à l’instar de son frère, l’extrait de son casier judiciaire mentionne une première condamnation qui date de 2012 pour lésions corporelles simples. Il a ensuite commis une nouvelle infraction (recel) donnant lieu à une condamnation le 25 août 2015. Il n’a jamais exercé d’activité lucrative régulière, ayant seulement occupé des emplois temporaires de quelques mois avant son incarcération. On peut également s’étonner que le document produit à l’audience d’appel date de seulement trois jours et qu’il ne mentionne pas le fait qu’A.J.________ aurait déjà travaillé à l’essai depuis trois semaines pour le même employeur, comme il le prétend. Au surplus, on peut également douter du rôle « formateur » de l’activité qu’il aurait exercée pour le compte d’une organisation caritative, consistant à la distribution de fruits et légumes. Il faut de toute manière constater que son intégration en Suisse est déficiente. S’il est vrai qu’il a une épouse et trois enfants nés en 2019, 2020 et 2022, celle-ci est également originaire de Macédoine du Nord, où</w:t>
      </w:r>
    </w:p>
    <w:p>
      <w:r>
        <w:t>- 39 - vit sa propre famille, et elle parle albanais. Elle a en outre déclaré en audience qu’elle suivrait son époux s’il devait être expulsé de Suisse (jugement p. 11). Les enfants ne sont par ailleurs pas encore scolarisés en Suisse et pourront l’être en Macédoine du Nord ; leurs parents leur parlent en outre en albanais, si bien qu’ils n’auront pas de difficulté de langue pour s’intégrer dans leur pays d’origine. Il s’ensuit que les intérêts personnels d’A.J.________ ne seraient pas atteints de manière disproportionnée en cas d’expulsion du territoire suisse et que l’intérêt public à celle-ci l’emporte. Le cas de rigueur de l’art. 66a al. 2 CP ne doit donc pas trouver application. Par conséquent, l’expulsion d’A.J.________, qui est obligatoire, doit être prononcée. Compte tenu des éléments qui précèdent et vu le pronostic défavorable retenu par les premiers juges s’agissant de B.J.________ et le pronostic mitigé d’A.J.________, la durée de 7 ans apparaît également proportionnée. S’agissant de l’inscription au SIS, la Macédoine du Nord ne faisant pas partie de l’espace Schengen, elle apparaît nécessaire et justifiée, aussi sous l’angle de la proportionnalité, pour les mêmes motifs que ceux exposés ci-dessus et compte tenu du danger présenté par les appelants pour la sécurité et l’ordre publics. Il n’y a en outre pas de raison de considérer différemment l’ordre public des autres pays membres de l’espace Schengen dans le cas d’espèce. L’inscription SIS doit dès lors être également confirmée s’agissant des deux appelants. Pour le surplus, une éventuelle violation du droit d’être entendu des prévenus en raison du défaut de motivation en première instance doit être considérée comme réparée par le présent jugement. 7. En conclusion, les appels d’A.J.________ et de B.J.________ doivent être rejetés et le jugement entrepris confirmé. Le défenseur d’office d’A.J.________, Me Laurent Schuler, a produit une liste d’opérations faisant état d’une durée de 12 heures et 20 minutes d’activité consacrée à la procédure d’appel (P. 165), dont il n’y a</w:t>
      </w:r>
    </w:p>
    <w:p>
      <w:r>
        <w:t>- 40 - pas lieu de s’écarter. Au tarif de 180 fr. de l’heure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2’220 fr. à titre d’honoraires. A cela s’ajoutent un forfait pour les débours de 2 % (cf. art. 26b TFIP qui renvoie à l'art. 3bis RAJ), par 44 fr. 40, une vacation, par 120 fr., ainsi que la TVA sur le tout, au taux de 7,7 %, par 183 fr. 60. Partant, une indemnité d’un montant total de 2’568 fr. sera allouée à Me Laurent Schuler. Le défenseur d’office de B.J.________, Me Alain Vuithier, a produit une liste d’opérations faisant état d’une durée de 9 heures et 20 minutes consacrée à la procédure d’appel, dont une heure d’audience d’appel où le défenseur d’office était remplacé par son avocate-stagiaire.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1’610 fr. ([8h20 x 180 fr. = 1'500 fr.] + [1h x 110 fr. = 110 fr.]) à titre d’honoraires. A cela s’ajoutent un forfait pour les débours de 2 % (cf. art. 26b TFIP qui renvoie à l'art. 3bis RAJ), par 32 fr. 20, une vacation opérée par une avocate- stagiaire, par 80 fr., ainsi que la TVA sur le tout, au taux de 7,7 %, par 132 fr. 60. Partant, une indemnité d’un montant total de 1’854 fr. 80 sera allouée à Me Alain Vuithier. Vu l’issue de la cause, les frais communs de la procédure d’appel, constitués en l’espèce des émoluments de jugement et d’audience, par 4’110 fr. (31 pages et plus d’une heure d’audience ; cf. art. 21 al. 1 et 2 TFIP), seront mis à la charge des appelants par moitié chacun, soit par 2’055 francs. En sus, chacun prendra à sa charge l’indemnité de son défenseur d’office (art. 428 al. 1 CPP).</w:t>
      </w:r>
    </w:p>
    <w:p>
      <w:r>
        <w:t>- 41 - Le remboursement à l'Etat de l’indemnité de leur propre défenseur d'office ne sera exigible de chacun des appelants que pour autant que leur situation économique respective le permette (art. 135 al. 4 CPP).</w:t>
      </w:r>
    </w:p>
    <w:p>
      <w:r>
        <w:rPr>
          <w:b/>
        </w:rPr>
        <w:t>E. 10</w:t>
      </w:r>
    </w:p>
    <w:p>
      <w:r>
        <w:t>décembre 1984 contre la torture et autres peines ou traitements cruels, inhumains ou dégradants [RS 0.105]), alors même que ces garanties sont encore expressément réservées par l'art. 66d al. 1 CP (ATF 147 IV 453 consid. 1.4.5 ; TF 6B_747/2019 du 24 juin 2020 consid. 2.1.2 ; cf. Busslinger/Uebersax, Härtefallklausel und migrationsrechtliche Auswirkungen der Landesverweisung, Plädoyer 5/16 p.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