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PE20.008133 vom 12. Juli 2022</w:t>
      </w:r>
    </w:p>
    <w:p>
      <w:r>
        <w:t>VD Tribunal cantonal, 2022-07-12, FR</w:t>
      </w:r>
    </w:p>
    <w:p>
      <w:r>
        <w:rPr>
          <w:b/>
        </w:rPr>
        <w:t xml:space="preserve">Quelle: </w:t>
      </w:r>
      <w:r>
        <w:t>https://mcp.opencaselaw.ch/entscheid/vd_gerichte_PE20.008133</w:t>
      </w:r>
    </w:p>
    <w:p>
      <w:r>
        <w:t>FR: VD_GERICHTE PE20.008133 du 12 juillet 2022</w:t>
      </w:r>
    </w:p>
    <w:p>
      <w:r>
        <w:t>IT: VD_GERICHTE PE20.008133 del 12 luglio 2022</w:t>
      </w:r>
    </w:p>
    <w:p>
      <w:pPr>
        <w:pStyle w:val="Heading2"/>
      </w:pPr>
      <w:r>
        <w:t>Erwägungen</w:t>
      </w:r>
    </w:p>
    <w:p>
      <w:r>
        <w:rPr>
          <w:b/>
        </w:rPr>
        <w:t>E. 4</w:t>
      </w:r>
    </w:p>
    <w:p>
      <w:r>
        <w:t>S’agissant du cas n° 6 de l’acte de l’accusation, l’appelant conteste s’être rendu coupable de contrainte. Il expose qu’il a uniquement voulu passer un bref moment avec son fils, qu’il avait croisé par hasard, mais qu’en raison de la pluie, il avait cherché un endroit pour s’abriter. Il n’a jamais tenté de fuir la plaignante, celle-ci ayant toujours su où son fils se trouvait et qu’il était entre de bonnes mains.</w:t>
      </w:r>
    </w:p>
    <w:p>
      <w:r>
        <w:rPr>
          <w:b/>
        </w:rPr>
        <w:t>E. 4.1</w:t>
      </w:r>
    </w:p>
    <w:p>
      <w:r>
        <w:t>Se rend coupable de contrainte au sens de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 TF 6B_637/2022 du 29 septembre 2022 consid. 5.1.2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 ATF 120 IV 17 précité ; TF 6B_637/2022 précité). Il peut également y avoir contrainte lorsque l'auteur entrave sa victime « de quelque autre manière ». Cette formule générale doit être interprétée de manière restrictive. N'importe quelle pression de peu d'importance ne suffit pas. Il faut que le moyen de contrainte utilisé</w:t>
      </w:r>
    </w:p>
    <w:p>
      <w:r>
        <w:t>- 19 -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TF 6B_637/2022 précité ; TF 6B_153/2017 du 28 novembre 2017 consid. 3.1). La contrainte n'est contraire au droit que si elle est illicite (ATF 120 IV 17 précité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TF 6B_637/2022 précité consid. 5.1.3). Savoir si la restriction de la liberté d'action constitue une contrainte illicite dépend ainsi de l'ampleur de l'entrave, de la nature des moyens employés à la réaliser et des objectifs visés par l'auteur (ATF 129 IV 262 consid 2.1 ; ATF 129 IV 6 consid 3.4 ; TF 6B_637/2022 précité). Sur le plan subjectif, il faut que l'auteur ait agi intentionnellement, c'est-à-dire qu'il ait voulu contraindre la victime à adopter le comportement visé en étant conscient de l'illicéité de son comportement ; le dol éventuel suffit (ATF 120 IV 17 précité consid. 2c ; TF 6B_637/2022 précité).</w:t>
      </w:r>
    </w:p>
    <w:p>
      <w:r>
        <w:rPr>
          <w:b/>
        </w:rPr>
        <w:t>E. 4.2</w:t>
      </w:r>
    </w:p>
    <w:p>
      <w:r>
        <w:t>En l’occurrence, il est reproché à l’appelant, qui se trouvait sous le coup d’une interdiction de s’approcher de son épouse et de son fils à moins de 200 mètres, de s’être emparé de ce dernier alors que sa mère le promenait dans sa poussette, pour l’emporter dans ses bras, contre volonté de sa conjointe, et de s’être enfui tout en étant poursuivi par la mère de l’enfant et ce, sans lui indiquer les raisons de son comportement, se bornant à lui répondre « tu verras ».</w:t>
      </w:r>
    </w:p>
    <w:p>
      <w:r>
        <w:t>- 20 - Lors des débats de première instance, H.________ a reconnu que son geste n’était « pas très intelligent », mais qu’il avait agi de la sorte pour bénéficier d’un moment d’intimité avec son fils (jgt, p. 5). Pour sa part, la plaignante a confirmé qu’il pleuvait, que mari avait pris l’enfant contre son gré, en lui disant « attention, ne m’énerve pas », qu’il avait refusé de le lui rendre alors qu’elle le suivait, qu’il marchait vite et qu’elle avait eu peur, l’intéressé ayant déjà menacé par le passé de s’enfuir avec l’enfant (jgt, pp. 9 in fine et 10). Enfin, un témoin a été entendu, soit M.________, qui accompagnait la plaignante le jour des faits. Elle a confirmé que cette dernière avait demandé « beaucoup de fois » au père de lui rendre l’enfant (jgt, p. 11). Le premier juge a retenu que le fait de saisir l’enfant [...] contre la volonté de sa mère, exprimée à maintes reprises, en violation de décisions de justice interdisant au prévenu de s’approcher de son fils, était constitutifs d’un acte illicite tant dans son moyen que dans le but poursuivi. En outre, le fait de prendre l’enfant et de partir en marchant vite loin de la mère constituait, par l’effet de surprise et l’éloignement rapide, un acte entravant la liberté d’action de la plaignante, qui avait dû suivre le prévenu sur plusieurs mètres, apeurée par son comportement et dans la crainte qu’il ne s’enfuie avec l’enfant. Partant, les éléments constitutifs objectifs et subjectifs de la contrainte étaient réalisés (jgt, p. 20). L’appréciation du premier juge ne prête pas le flanc à la critique et doit être confirmée. En effet, le fait de s’emparer de l’enfant dans ces circonstances, en s’imposant et en s’en allant prestement avec lui, sans fournir d’autres explications que « tu verras », constituent manifestement une contrainte au sens de l’art. 181 CP, la liberté de la plaignante de promener tranquillement son fils dans sa poussette et d’assurer sa sécurité ayant été illicitement entravée. Mal fondé, le moyen doit dès lors être rejeté.</w:t>
      </w:r>
    </w:p>
    <w:p>
      <w:r>
        <w:t>- 21 -</w:t>
      </w:r>
    </w:p>
    <w:p>
      <w:r>
        <w:rPr>
          <w:b/>
        </w:rPr>
        <w:t>E. 5</w:t>
      </w:r>
    </w:p>
    <w:p>
      <w:r>
        <w:t>H.________, qui conclut à son acquittement des chefs d’accusation de voies de fait et de contrainte, ne conteste pas, à titre subsidiaire, la quotité de la peine pécuniaire et de l’amende. Celle-ci doit toutefois être vérifiée d’office.</w:t>
      </w:r>
    </w:p>
    <w:p>
      <w:r>
        <w:rPr>
          <w:b/>
        </w:rPr>
        <w:t>E. 5.1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En l’espèce, la Cour de céans constate que la peine a été fixée en application des critères légaux, tels que prévus à l’art. 47 CP, et conformément à la culpabilité d’H.________, qui doit être qualifiée d’importante. Il peut dès lors être renvoyé à cet égard à la motivation du jugement attaqué (p. 22 ; art. 82 al. 4 CPP), qui est claire et convaincante. La peine pécuniaire de 150 jours-amende est adéquate, de même que la valeur du jour-amende fixée à 30 fr., qui tient compte de la situation</w:t>
      </w:r>
    </w:p>
    <w:p>
      <w:r>
        <w:t>- 22 - personnelle et économique du prénommé. Par ailleurs, les conditions objectives et subjectives d’octroi du sursis sont remplies. Enfin, l’amende de 1’000 fr. prononcée pour réprimer les contraventions commises est également adéquate.</w:t>
      </w:r>
    </w:p>
    <w:p>
      <w:r>
        <w:rPr>
          <w:b/>
        </w:rPr>
        <w:t>E. 6</w:t>
      </w:r>
    </w:p>
    <w:p>
      <w:r>
        <w:t>Se fondant sur la prémisse de son acquittement des chefs d’accusation de voies de fait et de contrainte, l’appelant conteste le montant de 1'000 fr. accordé à B.________ en réparation du tort moral. Cette conclusion doit être rejetée compte tenu de la confirmation de la condamnation pour voies de fait et contrainte, la motivation du premier juge, qui n’est pas critiquée par l’appelant, étant du reste parfaitement convaincante (cf. jgt, p. 24).</w:t>
      </w:r>
    </w:p>
    <w:p>
      <w:r>
        <w:rPr>
          <w:b/>
        </w:rPr>
        <w:t>E. 7</w:t>
      </w:r>
    </w:p>
    <w:p>
      <w:r>
        <w:t>Au vu de ce qui précède, l’appel doit être rejeté et le jugement entrepris confirmé. Me Camille Piguet, défenseur d’office d’H.________, a produit une liste d’opérations dans laquelle elle indique une activité nécessaire d’avocat de 9h21, dont il n’y a pas lieu de s’écarter, si ce n’est pour ajouter 35 minutes afin de tenir compte du temps consacré aux débats d’appel. C’est donc une durée totale de 9h56 qui sera retenue.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1’788 fr., auxquels s’ajoutent des débours forfaitaires de 2 % (art. 26b TFIP qui renvoie à l'art. 3 bis RAJ), par 35 fr. 80, une vacation à 120 fr. et la TVA sur le tout, au taux de 7,7%, par 149 fr. 65. L’indemnité de défenseur d’office pour la procédure d’appel sera dès lors fixée à 2'093 fr. 45. Me Stéphanie Cacciatore, conseil juridique gratuit de B.________ jusqu’au 21 octobre 2022, date à laquelle elle a été relevée de son mandat, a produit une liste d’opérations, mentionnant 2h05 d’activité nécessaire d’avocat. Cette durée peut être admise. Au tarif horaire de 180</w:t>
      </w:r>
    </w:p>
    <w:p>
      <w:r>
        <w:t>- 23 - fr., l’indemnité de conseil juridique gratuit sera dès lors fixée à 411 fr. 95, comprenant des honoraires, par 375 fr., auxquels s’ajoutent les débours forfaitaires, par 7 fr. 50, et la TVA sur le tout, par 29 fr. 45. Me Razi Abderrahim, désigné conseil juridique gratuit de B.________ le 21 octobre 2022, a également une produit une liste d’opérations. Celle-ci fait état d’une activité nécessaire d’avocat de 8h36, ce qui est adéquat. Au tarif horaire de 180 fr., l’indemnité de conseil juridique gratuit sera dès lors fixée à 1'829 fr. 80, comprenant des honoraires, par 1'548 fr., des débours forfaitaires, par 31 fr., une vacation à 120 fr. et la TVA sur le tout, par 130 fr. 80. Vu l’issue de la cause, les frais de la procédure d’appel, par 6’605 fr. 20, constitués de l’émolument de jugement et d’audience, par 2’270 fr. (art. 21 al. 1 et 2 TFIP), et des indemnités dues au défenseur d’office, par 2'093 fr. 45, et aux conseils juridiques gratuits, par 2'241 fr. 75 (1'829 fr. 80 + 411 fr. 95), seront mis à la charge d’H.________, qui succombe (art. 428 al. 1 CPP). H.________ sera tenu de rembourser à l’Etat le montant des indemnités en faveur de son défenseur d’office et des conseils juridiques gratuits dès 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