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PE20.008121 vom 9. Oktober 2020</w:t>
      </w:r>
    </w:p>
    <w:p>
      <w:r>
        <w:t>VD Tribunal cantonal, 2020-10-09, FR</w:t>
      </w:r>
    </w:p>
    <w:p>
      <w:r>
        <w:rPr>
          <w:b/>
        </w:rPr>
        <w:t xml:space="preserve">Quelle: </w:t>
      </w:r>
      <w:r>
        <w:t>https://mcp.opencaselaw.ch/entscheid/vd_gerichte_PE20.008121</w:t>
      </w:r>
    </w:p>
    <w:p>
      <w:r>
        <w:t>FR: VD_GERICHTE PE20.008121 du 9 octobre 2020</w:t>
      </w:r>
    </w:p>
    <w:p>
      <w:r>
        <w:t>IT: VD_GERICHTE PE20.008121 del 9 ottobre 2020</w:t>
      </w:r>
    </w:p>
    <w:p>
      <w:pPr>
        <w:pStyle w:val="Heading2"/>
      </w:pPr>
      <w:r>
        <w:t>Erwägungen</w:t>
      </w:r>
    </w:p>
    <w:p>
      <w:r>
        <w:rPr>
          <w:b/>
        </w:rPr>
        <w:t>E. 1.1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F.________ à l’encontre du Procureur A.________ (art. 13 LVCPP [Loi vaudoise d’introduction du Code de procédure pénale suisse du 19 mai 2009 ; BLV 312.01]).</w:t>
      </w:r>
    </w:p>
    <w:p>
      <w:r>
        <w:t>- 4 -</w:t>
      </w:r>
    </w:p>
    <w:p>
      <w:r>
        <w:rPr>
          <w:b/>
        </w:rPr>
        <w:t>E. 2.1</w:t>
      </w:r>
    </w:p>
    <w:p>
      <w:r>
        <w:t>Le requérant demande la récusation du Procureur A.________ pour le motif principal que ce magistrat est l’auteur d’une ordonnance de non-entrée en matière rendue en sa défaveur et qu’elle a été annulée par l’autorité de recours. Il fait valoir que le Procureur « va évidemment, lors de cette deuxième instruction, chercher à confirmer son ordonnance de non-entrée en matière du 29 mai 2020 ».</w:t>
      </w:r>
    </w:p>
    <w:p>
      <w:r>
        <w:rPr>
          <w:b/>
        </w:rPr>
        <w:t>E. 2.2</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w:t>
      </w:r>
    </w:p>
    <w:p>
      <w:r>
        <w:t>- 5 - 1B_315/2019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déjà cité, consid. 2.3 et l’arrêt cité).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 TF 1B_290/2020 et TF 1B_311/2020 du 4 août 2020 consid. 2.6).</w:t>
      </w:r>
    </w:p>
    <w:p>
      <w:r>
        <w:rPr>
          <w:b/>
        </w:rPr>
        <w:t>E. 2.3</w:t>
      </w:r>
    </w:p>
    <w:p>
      <w:r>
        <w:t>Au vu la jurisprudence susmentionnée, l’ordonnance de non- entrée en matière rendue par le Procureur A.________ le 29 mai 2020 en défaveur de F.________, et annulée par l’autorité de recours, ne fonde pas en soi une apparence objective de prévention. En effet, seules des erreurs particulièrement lourdes ou répétées, constitutives de violations graves des devoirs du magistrat, peuvent fonder une suspicion de partialité. Or,</w:t>
      </w:r>
    </w:p>
    <w:p>
      <w:r>
        <w:t>- 6 - on ne distingue pas, dans la conduite de la procédure visée, de telles violations par le procureur concerné.</w:t>
      </w:r>
    </w:p>
    <w:p>
      <w:r>
        <w:rPr>
          <w:b/>
        </w:rPr>
        <w:t>E. 2.4</w:t>
      </w:r>
    </w:p>
    <w:p>
      <w:r>
        <w:t>F.________ relève encore que l’agression qu’il évoque aurait eu lieu le 16 septembre 2019 et que l’ordonnance de non-entrée en matière n’a été rendue que le 29 mai 2020, soit huit mois plus tard, ce qui serait inacceptable. Il indique que ses demandes d’informations sur l’état d’avancement du dossier seraient restées sans réponse. Enfin, il se plaint du fait qu’au vu de son absence, dont le procureur aurait eu connaissance et aurait dû tenir compte, la prochaine étape de la procédure aurait lieu à son retour de l’étranger au printemps 2021, soit presque un an et demi après les faits dénoncés. En l’occurrence, le grief du requérant confine à la mauvaise foi. En effet, il se plaint que son affaire prend du retard, mais part à l’étranger avec son épouse pour une durée de six mois. Il demande – et obtient – l’annulation des auditions prévues par le Procureur le 25 novembre 2020, ces auditions étant manifestement nécessaires pour l’avancement de l’enquête. Si le requérant, plaignant dans la procédure, souhaite voir son affaire traitée dans les meilleurs délais, il lui appartient de prendre toutes les dispositions pour être présent en Suisse et répondre aux convocations et aux courriers des autorités. A défaut, le Procureur pourrait légitimement aller jusqu’à considérer que F.________ se désintéresse de son affaire. Le grief est mal fondé.</w:t>
      </w:r>
    </w:p>
    <w:p>
      <w:r>
        <w:rPr>
          <w:b/>
        </w:rPr>
        <w:t>E. 2.5</w:t>
      </w:r>
    </w:p>
    <w:p>
      <w:r>
        <w:t>Enfin, le requérant critique les mandats du 23 septembre 2020 en vue des audiences prévues le 25 novembre 2020 devant le Ministère public. Sur ce point, il apparait que le Procureur a cité F.________ (en qualité de personne appelée à donner des renseignements) et T.________ (en qualité de prévenu) pour une audition de confrontation le mercredi 25 novembre 2020 à 08h30 à son office. Ces mandats comportent la mention : « vous êtes cité à comparaitre personnellement à mon audience</w:t>
      </w:r>
    </w:p>
    <w:p>
      <w:r>
        <w:t>- 7 - (…) ». Certes, la citation à comparaître de F.________ comporte une erreur en ce sens qu’il est plaignant dans la procédure et aurait dû être cité en cette qualité, mais l’erreur n’a plus d’importance, l’audition ayant été renvoyée. Le Procureur a également convoqué pour la même date mais à 10h00 [...], à 10h30 [...] et à 11h00 [...], tous trois en qualité de témoins. Au pied de ces trois dernières convocations on peut lire qu’elles ont été adressées en « copie valant avis d’audience (art. 147 CPP) » à F.________ et à T.________. L’annexe à laquelle fait référence le requérant et dans laquelle il est mentionné « votre présence n’est pas obligatoire », ne concerne que les auditions de témoins, auxquelles il était invité à assister sur la base de l’art. 147 CPP ; la présence du requérant à ces auditions n’est donc pas obligatoire. En revanche, sa présence est obligatoire à l’audience de confrontation prévue à 08h30, conformément à l’art. 146 CPP. On ne discerne ainsi aucune erreur ni aucun « désordre » du Procureur en relation avec les mandats de comparution émis le 23 septembre 2020. En définitive, la Cour de céans ne distingue aucun élément permettant de retenir une apparence de prévention de la part du Procureur à l’endroit du requérant.</w:t>
      </w:r>
    </w:p>
    <w:p>
      <w:r>
        <w:rPr>
          <w:b/>
        </w:rPr>
        <w:t>E. 3</w:t>
      </w:r>
    </w:p>
    <w:p>
      <w:r>
        <w:t>Il résulte de ce qui précède que la demande de récusation déposée le 29 septembre 2020 par F.________ contre le Procureur A.________ doit être rejetée.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w:t>
      </w:r>
    </w:p>
    <w:p>
      <w:r>
        <w:t>- 8 - Par ces motifs, la Chambre des recours pénale prononce : I. La demande de récusation présentée le 29 septembre 2020 par F.________ est rejetée. II. Les frais de la présente décision, par 770 fr. (sept cent septante francs), sont mis à la charge de F.________. III. La décision est exécutoire. Le président : La greffière : Du La présente décision, dont la rédaction a été approuvée à huis clos, est notifiée, par l'envoi d'une copie complète, à : - M. F.________, - Ministère public central, et communiquée à : - M. le Procureur de l’arrondissement de l’Est vaudois, - M. T.________,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