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PE20.008033 vom 30. Oktober 2020</w:t>
      </w:r>
    </w:p>
    <w:p>
      <w:r>
        <w:t>VD Tribunal cantonal, 2020-10-30, FR</w:t>
      </w:r>
    </w:p>
    <w:p>
      <w:r>
        <w:rPr>
          <w:b/>
        </w:rPr>
        <w:t xml:space="preserve">Quelle: </w:t>
      </w:r>
      <w:r>
        <w:t>https://mcp.opencaselaw.ch/entscheid/vd_gerichte_PE20.008033</w:t>
      </w:r>
    </w:p>
    <w:p>
      <w:r>
        <w:t>FR: VD_GERICHTE PE20.008033 du 30 octobre 2020</w:t>
      </w:r>
    </w:p>
    <w:p>
      <w:r>
        <w:t>IT: VD_GERICHTE PE20.008033 del 30 ottobre 2020</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devant l’autorité compétente par le prévenu qui a qualité pour recourir (art. 382 al. 1 CPP), et satisfaisant aux conditions de forme prescrites (art. 385 al. 1 CPP), le recours est recevable.</w:t>
      </w:r>
    </w:p>
    <w:p>
      <w:r>
        <w:rPr>
          <w:b/>
        </w:rPr>
        <w:t>E. 2</w:t>
      </w:r>
    </w:p>
    <w:p>
      <w:r>
        <w:t>- 5 -</w:t>
      </w:r>
    </w:p>
    <w:p>
      <w:r>
        <w:rPr>
          <w:b/>
        </w:rPr>
        <w:t>E. 2.1</w:t>
      </w:r>
    </w:p>
    <w:p>
      <w:r>
        <w:t>Le recourant soutient que les images de vidéosurveillance litigieuses auraient été obtenues de manière illicite et qu’elles ne pourraient, de ce fait, pas être exploitées dans la procédure pénale, tout comme les pièces y faisant référence. Il fait notamment valoir que le panneau indiquant la présence d’une caméra n’était pas « bien visible » et que celle-ci ne filmait pas uniquement la propriété privée de la plaignante, mais également la servitude de passage desservant sa parcelle et une partie de celle-ci.</w:t>
      </w:r>
    </w:p>
    <w:p>
      <w:r>
        <w:rPr>
          <w:b/>
        </w:rPr>
        <w:t>E. 2.2</w:t>
      </w:r>
    </w:p>
    <w:p>
      <w:r>
        <w:t>; TF 6B_1188/2018 du 26 septembre 2019 destiné à publication consid. 2.1, JdT 2019 I 382 ; TF 1B_234/2018 du 27 juillet 2018 consid. 3.1). Ainsi, une preuve obtenue illicitement par un particulier n’est exploitable que dans la mesure où elle aurait pu être obtenue licitement par l’autorité, ce qui n’est pas le cas des preuves recueillies en violation de l’art. 140 CPP, et moyennant une pesée des intérêts analogue à celle prescrite dans le contexte de l’art. 141 al. 2 CPP (ATF 137 I 218 ; Jeanneret/Kuhn, Précis de procédure pénale, 2e éd., Berne 2018, nn. 9011 s., pp. 244 ss, et n. 14089, p. 395 et les références citées). A cet égard, plus l’infraction est grave, plus l’intérêt public à la manifestation de la vérité l’emporte sur l’intérêt privé à ce que la preuve litigieuse reste inexploitée (ATF 131 I 272 consid. 4.1.2 ; TF 6B_911/2017 du 27 avril 2018 consid. 1.2.3 ; TF 6B_786/2015 du 8 février 2016 consid. 1.3.2). En tout état de cause, au stade de l’instruction, il convient de ne constater l’inexploitabilité de ce genre de moyen de preuve que dans des cas manifestes (TF 6B_1188/2018 précité ; TF 1B_234/2018 précité et les références citées ; Moreillon/Parein-Reymond, Petit commentaire, Code de procédure pénale, 2e éd., Bâle 2016, n. 5 ad art. 141 CPP).</w:t>
      </w:r>
    </w:p>
    <w:p>
      <w:r>
        <w:rPr>
          <w:b/>
        </w:rPr>
        <w:t>E. 2.2.1</w:t>
      </w:r>
    </w:p>
    <w:p>
      <w:r>
        <w:t>Le Code de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t>- 6 - Le Code de procédure pénale ne règle en revanche pas de manière explicite dans quelle mesure ces dispositions s'appliquent quand les moyens de preuve sont récoltés, non pas par les autorités, mais par des personnes privées. Dans une telle situation, il n'existe donc pas d'interdiction de principe de les exploiter. Cela étant, selon la jurisprudence, de tels moyens de preuves sont uniquement exploitables si, cumulativement, ils auraient pu être obtenus par les autorités de poursuite pénale conformément à la loi et si une pesée des intérêts en présence justifie leur exploitation (TF 1B_91/2020 du 4 mars 2020 consid.</w:t>
      </w:r>
    </w:p>
    <w:p>
      <w:r>
        <w:rPr>
          <w:b/>
        </w:rPr>
        <w:t>E. 2.2.2</w:t>
      </w:r>
    </w:p>
    <w:p>
      <w:r>
        <w:t>Selon l’art. 12 al. 1 LPD (Loi fédérale sur la protection des données du 19 juin 1992 ; RS 235.1), quiconque traite des données personnelles ne doit pas porter une atteinte illicite à la personnalité des personnes concernées.</w:t>
      </w:r>
    </w:p>
    <w:p>
      <w:r>
        <w:t>- 7 - En vertu de l’art. 13 al. 1 LPD, une atteinte à la personnalité est illicite à moins d'être justifiée par le consentement de la victime, par un intérêt prépondérant privé ou public, ou par la loi. La collecte de données personnelles est donc admise dans le respect des principes de l’art. 4 LPD, lequel indique que la collecte doit être reconnaissable, soit bien visible.</w:t>
      </w:r>
    </w:p>
    <w:p>
      <w:r>
        <w:rPr>
          <w:b/>
        </w:rPr>
        <w:t>E. 2.3</w:t>
      </w:r>
    </w:p>
    <w:p>
      <w:r>
        <w:t>En l’espèce, à l’instar du Ministère public, force est de constater que le système de surveillance installé par la partie plaignante était signalé par un panneau apposé sur son garage, conformément aux directives du Préposé fédéral à la protection des données. Ainsi, même si le recourant prétend dans le cas d’espèce ne jamais s’être approché « à pieds » pour le voir, cela ne change rien au fait que tout tiers apparaissant devant le garage de la plaignante ne pouvait ignorer l’existence de la caméra. Que le recourant invoque ne pas l’avoir vu ne change rien au fait que le panneau indiquant le système de vidéosurveillance était bien visible, de sorte qu’il ne saurait prétendre avoir été filmé à son insu. Par ailleurs, s’il peut être donné acte au recourant que le champ de vision de la caméra de vidéosurveillance installé par la partie plaignante sur sa propriété porte également sur la servitude conférant un droit de passage à quelques mètres du garage de sa voisine, il y a lieu de relever que ledit passage est propriété de la parcelle n° 5254, soit celle de la partie plaignante. A cet égard, il ne paraît pas soutenable d’affirmer, comme le fait le recourant, que toute la parcelle au bénéfice d’une servitude devrait être qualifiée de « domaine public ». Quoi qu’il en soit, il est évident en l’espèce que la manœuvre litigieuse effectuée par le prévenu a bien eu lieu devant le garage de la plaignante, soit hors de la zone de la servitude (cf. P. 8/2), zone où figurait de surcroît l’avis de vidéosurveillance. Dans ces conditions, les prises de vues litigieuses ne contreviennent pas à l’art. 12 LPD, de sorte que le prévenu ne saurait se prévaloir d’une quelconque atteinte illicite à sa personnalité.</w:t>
      </w:r>
    </w:p>
    <w:p>
      <w:r>
        <w:t>- 8 - Par surabondance, quand bien même l’atteinte à la personnalité du recourant pourrait être qualifiée d’illicite, celle-ci serait dans tous les cas justifiée par l’intérêt à la manifestation de la vérité et par l’intérêt prépondérant de la plaignante, dans la mesure où les prises de vue litigieuses ne concernent pas de simples actes d’incivilité entre voisins, mais pourraient être indispensables pour élucider des infractions graves au sens de l’art. 141 al. 2 CPP. En effet, le dispositif de vidéosurveillance a permis de filmer l’accélération du prévenu au volant de sa voiture en direction de sa voisine, laquelle était occupée à arroser des plantes sur sa propriété et a dû sauter de côté dans son jardin pour éviter d’être percutée. Dans de telles circonstances, on ne saurait à ce stade nier qu’une collision ait pu causer des lésions corporelles importantes à la plaignante, ni exclure l’existence d’une mise en danger concrète de la vie de celle-ci. Ainsi, l’intérêt public à la découverte de la vérité l’emporte manifestement sur l’intérêt privé du prévenu à ce que la preuve demeure inexploitable. En outre, contrairement à ce que soutient le recourant, le fait que l’enregistrement litigieux ait été recueilli sur une parcelle privée n’empêche aucunement qu’elle ait pu être obtenue licitement par l’autorité, moyennant les autorisations nécessaires. Au vu de ce qui précède, les conditions pour admettre au dossier l’enregistrement vidéo produit par W.________ étant remplies, c’est à juste titre que le Procureur a refusé de retrancher les images de vidéosurveillance litigieuses du dossier et, partant, de déclarer inexploitables les moyens de preuve en découlant.</w:t>
      </w:r>
    </w:p>
    <w:p>
      <w:r>
        <w:rPr>
          <w:b/>
        </w:rPr>
        <w:t>E. 3</w:t>
      </w:r>
    </w:p>
    <w:p>
      <w:r>
        <w:t>En définitive, le recours, manifestement mal fondé, doit être rejeté sans échange d’écritures (art. 390 al. 2 CPP) et l’ordonnance entreprise confirmée. Les frais de la procédure de recours, constitués en l’espèce du seul émolument d'arrêt, par 880 fr. (art. 20 al. 1 TFIP [Tarif des frais de procédure et indemnités en matière pénale du 28 septembre 2010 ; BLV</w:t>
      </w:r>
    </w:p>
    <w:p>
      <w:r>
        <w:t>- 9 - 312.03.1]), seront mis à la charge du recourant, qui succombe (art. 428 al. 1 CPP). Par ces motifs, la Chambre des recours pénale prononce : I. Le recours est rejeté. II. L’ordonnance du 11 août 2020 est confirmée. III. Les frais d’arrêt, par 880 fr. (huit cent huitante francs), sont mis à la charge de X.________. IV. L’arrêt est exécutoire. Le président : La greffière : Du Le présent arrêt, dont la rédaction a été approuvée à huis clos, est notifié, par l'envoi d'une copie complète, à : - Me Benjamin Schwab, avocat (pour X.________), - Me Elie Elkaim, avocat (pour W.________), - Ministère public central, et communiqué à : - M. le Procureur de l’arrondissement de l’Est vaudois,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