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PE20.007867 vom 2. Dezember 2021</w:t>
      </w:r>
    </w:p>
    <w:p>
      <w:r>
        <w:t>VD Tribunal cantonal, 2021-12-02, FR</w:t>
      </w:r>
    </w:p>
    <w:p>
      <w:r>
        <w:rPr>
          <w:b/>
        </w:rPr>
        <w:t xml:space="preserve">Quelle: </w:t>
      </w:r>
      <w:r>
        <w:t>https://mcp.opencaselaw.ch/entscheid/vd_gerichte_PE20.007867</w:t>
      </w:r>
    </w:p>
    <w:p>
      <w:r>
        <w:t>FR: VD_GERICHTE PE20.007867 du 2 décembre 2021</w:t>
      </w:r>
    </w:p>
    <w:p>
      <w:r>
        <w:t>IT: VD_GERICHTE PE20.007867 del 2 dicembre 2021</w:t>
      </w:r>
    </w:p>
    <w:p>
      <w:pPr>
        <w:pStyle w:val="Heading2"/>
      </w:pPr>
      <w:r>
        <w:t>Erwägungen</w:t>
      </w:r>
    </w:p>
    <w:p>
      <w:r>
        <w:rPr>
          <w:b/>
        </w:rPr>
        <w:t>E. 5</w:t>
      </w:r>
    </w:p>
    <w:p>
      <w:r>
        <w:t>L’appelant conteste la quotité de la peine ainsi que la durée du sursis. Il reproche au premier juge d’avoir tenu compte, à charge, des faits résultant de l’acte d’accusation du 15 mars 2019 dont il a été acquitté, en faisant état d’un « mode opératoire » et d’une « tendance violente » de sa part. Par ailleurs, il estime que le contexte conjugal aurait dû être pris en considération à décharge, en relevant que la séparation était désormais actée et qu’un divorce à l’amiable était sur le point d’être prononcé (P. 60/1, p. 10).</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w:t>
      </w:r>
    </w:p>
    <w:p>
      <w:r>
        <w:t>- 19 -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5.1.2</w:t>
      </w:r>
    </w:p>
    <w:p>
      <w:r>
        <w:t>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(cf. ATF 135 IV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6B_805/2020 du 15 juillet 2020 consid. 2.2 ; TF 6B_317/2020 du 1er juillet 2020 consid. 4.1). Il doit tenir compte de tous les éléments propres à éclairer l'ensemble du caractère de l'accusé et</w:t>
      </w:r>
    </w:p>
    <w:p>
      <w:r>
        <w:t>- 20 - ses chances d'amendement. Il ne peut accorder un poids particulier à certains critères et en négliger d'autres qui sont pertinents (ATF 135 IV 180 précité ; ATF 134 IV 1 consid. 4.2.1 ; TF 6B_1040/2019 du 17 octobre 2019 consid. 2.1). Le défaut de prise de conscience de la faute peut justifier un pronostic défavorable, car seul celui qui se repent de son acte mérite la confiance que l’on doit pouvoir accorder au condamné bénéficiant du sursis (TF 6B_1446/2019 du 30 mars 2020 consid. 3.1 ; TF 6B_1216/2019 du 28 novembre 2019 consid. 5.1 ; TF 6B_584/2019 du 15 août 2019 consid. 3.1 et les références citées).</w:t>
      </w:r>
    </w:p>
    <w:p>
      <w:r>
        <w:rPr>
          <w:b/>
        </w:rPr>
        <w:t>E. 5.1.3</w:t>
      </w:r>
    </w:p>
    <w:p>
      <w:r>
        <w:t>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5.2</w:t>
      </w:r>
    </w:p>
    <w:p>
      <w:r>
        <w:t>L’appelant étant libéré de l’infraction de menaces qualifiées et les lésions corporelles simples qualifiées n’étant pas retenues s’agissant de l’épisode du LEB, il convient de refixer la peine. L’appelant ne précise pas ce qu’il entend par « circonstances particulières relatives aux relations entre époux ». Le premier juge a estimé, à juste titre, qu’il n’y avait aucun rapport entre la jalousie de la plaignante et la violence du prévenu ; celui- ci n’avait aucune légitimité à s’en prendre physiquement à son épouse. On ne voit pas non plus en quoi le fait qu’un divorce soit prochainement prononcé pourrait exercer une quelconque influence sur l’appréciation de la culpabilité. Compte tenu de ce qui précède, la peine pécuniaire de 60 jours-amende prononcée par le premier juge apparaît clémente et reste justifiée s’agissant du seul épisode de violence finalement retenu. Le montant du jour-amende fixé à 30 fr. est également adéquat au regard de la situation personnelle de l’appelant. Le sursis sera également confirmé, mais le délai d’épreuve de 4 ans sera ramené à 2 ans compte tenu de</w:t>
      </w:r>
    </w:p>
    <w:p>
      <w:r>
        <w:t>- 21 - l’absence d’antécédents. Enfin, au vu de la situation financière de l’appelant, qui devra en outre s’acquitter des frais de justice, il convient de renoncer au prononcé d’une amende à titre de sanction immédiate.</w:t>
      </w:r>
    </w:p>
    <w:p>
      <w:r>
        <w:rPr>
          <w:b/>
        </w:rPr>
        <w:t>E. 6</w:t>
      </w:r>
    </w:p>
    <w:p>
      <w:r>
        <w:t>L’appelant conclut au rejet des prétentions civiles de la partie plaignante.</w:t>
      </w:r>
    </w:p>
    <w:p>
      <w:r>
        <w:rPr>
          <w:b/>
        </w:rPr>
        <w:t>E. 6.1</w:t>
      </w:r>
    </w:p>
    <w:p>
      <w:r>
        <w:t>Celui qui subit une atteinte illicite à sa personnalité a droit à une somme d’argent à titre de réparation morale, pour autant que la gravité de l’atteinte le justifie et que l’auteur ne lui ait pas donné satisfaction autrement (art. 49 al. 1 CO [Code des obligations du 30 mars 1911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w:t>
      </w:r>
    </w:p>
    <w:p>
      <w:r>
        <w:rPr>
          <w:b/>
        </w:rPr>
        <w:t>E. 6.2</w:t>
      </w:r>
    </w:p>
    <w:p>
      <w:r>
        <w:t>En l’espèce, il doit être constaté que la partie plaignante a subi un étranglement qui a laissé des douleurs à la déglutition. Elle a été en incapacité de travail durant deux jours. En outre, sur le plan psychologique, elle a bénéficié de cinq séances de soutien après avoir été adressée par le Centre LAVI à une psychogue-psychothérapeute (cf. P. 47). Au vu de ce qui précède, l’allocation en réparation du tort moral du</w:t>
      </w:r>
    </w:p>
    <w:p>
      <w:r>
        <w:t>- 22 - montant réclamé par la plaignante, soit 500 fr., est justifiée et sera confirmée.</w:t>
      </w:r>
    </w:p>
    <w:p>
      <w:r>
        <w:rPr>
          <w:b/>
        </w:rPr>
        <w:t>E. 7</w:t>
      </w:r>
    </w:p>
    <w:p>
      <w:r>
        <w:t>Considérant l’admission partielle de l’appel, il y a lieu d’examiner la question de la répartition des frais de première instance. Par ailleurs, l’appelant réclame une indemnité au sens de l’art. 429 CPP.</w:t>
      </w:r>
    </w:p>
    <w:p>
      <w:r>
        <w:rPr>
          <w:b/>
        </w:rPr>
        <w:t>E. 7.1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Une condamnation aux frais ne peut se justifier que si, en raison du comportement illicite du prévenu, l'autorité était légitimement en droit d'ouvrir une enquête (ATF 144 IV 202 consid. 2.2 et les arrêts cités). En outre, le juge doit fonder sa décision sur des faits incontestés ou déjà clairement établis (ATF 112 Ia 371 consid. 2a ; TF 6B_1458/2020 du 7 avril 2021 consid. 1.2; TF 6B_1462/2020 du 4 février 2021 consid. 2).</w:t>
      </w:r>
    </w:p>
    <w:p>
      <w:r>
        <w:rPr>
          <w:b/>
        </w:rPr>
        <w:t>E. 7.2</w:t>
      </w:r>
    </w:p>
    <w:p>
      <w:r>
        <w:t>En l’occurrence, si l’infraction de lésions corporelles simples qualifiées n’est finalement pas retenue, c’est uniquement parce que les faits survenus dans le LEB doivent être qualifiés de voies de fait et qu’aucune plainte n’a été déposée. Il n’en reste pas moins que pousser</w:t>
      </w:r>
    </w:p>
    <w:p>
      <w:r>
        <w:t>- 23 - autrui au niveau des épaules, ce que l’appelant a admis, constitue un comportement civilement illicite, de sorte que l’autorité était légitimement en droit d’ouvrir une enquête à son encontre. Les menaces n’ont pas donné lieu à des mesures d’enquête. Partant, il se justifie, en application de l’art. 426 al. 2 CPP, de maintenir la condamnation du prévenu aux frais de première instance. L’appelant ayant ainsi provoqué l'ouverture de la procédure, il n’y a pas lieu, pour ce même motif, de lui allouer une indemnité au sens de l’art. 429 CPP. Au demeurant, il était et est assisté d’un défenseur d’office.</w:t>
      </w:r>
    </w:p>
    <w:p>
      <w:r>
        <w:rPr>
          <w:b/>
        </w:rPr>
        <w:t>E. 8</w:t>
      </w:r>
    </w:p>
    <w:p>
      <w:r>
        <w:t>En définitive, l’appel de N.________ doit être partiellement admis et le jugement entrepris réformé aux chiffres I à IV de son dispositif en ce sens que le prévenu est libéré de l’accusation de menaces qualifiées et qu’il est condamné pour lésions corporelles simples qualifiées à 60 jours-amende à 30 fr. le jour, avec sursis pendant 2 ans, le jugement étant confirmé pour le surplus. Me Stefan Graf, défenseur d’office, a produit une liste d'opérations, dont il n’y a pas lieu de s’écarter, indiquant 12h43 d'activité. Au tarif horaire de 180 fr. pour un avocat breveté (art. 2 al. 1 RAJ [règlement sur l'assistance judiciaire en matière civile du 7 décembre 2010; BLV 211.02.3] par renvoi de l'art. 26b TFIP [tarif des frais de procédure et indemnités en matière pénale du 28 septembre 2010; BLV 312.03.1]), les honoraires doivent ainsi se monter à 2’289 fr., auxquels s’ajoutent des débours forfaitaires de 2 % (art. 26b TFIP qui renvoie à l'art. 3 bis RAJ [règlement sur l’assistance judiciaire en matière civile du 7 décembre 2010 ; BLV 211.02.3]), par 45 fr. 80, une vacation à 120 fr. et la TVA sur le tout, au taux de 7,7%, par 189 francs. L’indemnité de défenseur d’office pour la procédure d’appel sera dès lors fixée à 2’643 fr. 80. Me Valérie Mérinat, conseil juridique gratuit de G.________, a quant à elle produit une liste d’opérations mentionnant 4h36 d’activité. Il n’y a pas lieu de s’écarter du temps allégué, qui est adéquat. On y ajoutera encore 1h00 pour l’audience d’appel. En définitive, il y a lieu de</w:t>
      </w:r>
    </w:p>
    <w:p>
      <w:r>
        <w:t>- 24 - retenir une durée de 5h36 d’activité nécessaire d’avocat, au tarif horaire de 180 fr. (cf. art. 2 al. 1 RAJ), à savoir 1’008 fr., des débours à hauteur de 2 % des honoraires (art. 3bis RAJ), par 20 fr. 20, une vacation forfaitaire de 120 fr. et la TVA, par 88 fr. 40. L’indemnité du conseil juridique gratuit sera donc arrêtée à 1'236 fr. 60. Vu l’issue de la cause, les frais de la procédure d’appel, par 6'040 fr. 40, constitués de l’émolument de jugement, par 2'160 fr. (art. 21 al. 1 TFIP), et des indemnités dues au défenseur d’office et au conseil juridique gratuit, par 3'880 fr. 40, seront mis par moitié, soit par 3'020 fr. 20, à la charge de N.________, le solde étant laissé à la charge de l’Etat (art. 428 al. 1, 1re phrase, CPP). La Cour d’appel pénale appliquant les articles 34, 42, 44, 47, 50, 123 ch. 1 et 2 al. 3 CP et 398 ss CPP, prononce : I. L’appel est partiellement admis. II. Le jugement rendu le 2 décembre 2021 par le Tribunal de police de l'arrondissement de Lausanne est modifié comme il suit aux chiffres I à IV de son dispositif, le dispositif du jugement étant désormais le suivant : "I. libère N.________ de l’accusation de menaces qualifiées ; II. constate que N.________ s’est rendu coupable de lésions corporelles simples qualifiées ; III. condamne N.________ à une peine pécuniaire de 60 (soixante) jours-amende à 30 fr. (trente francs) le jour ; IV. suspend l’exécution de la peine pécuniaire et fixe à N.________ un délai d’épreuve de 2 (deux) ans ;</w:t>
      </w:r>
    </w:p>
    <w:p>
      <w:r>
        <w:t>- 25 - V. dit que N.________ doit immédiat paiement à G.________ de la somme de 500 fr. (cinq cents francs) à titre de réparation du tort moral ; VI. arrête l’indemnité de Me Silvia Gutierrez à 4'126 francs ; VII.met à la charge de N.________ la totalité des frais de procédure arrêtés à 14'673 fr. 25, y compris l’indemnité allouée à son défenseur d’office, Me Stefan Graf, à hauteur de 5'714 fr. 60, cette indemnité devant être remboursée à l’Etat dès que la situation financière du condamné le permettra." III. Une indemnité de défenseur d'office pour la procédure d'appel d'un montant de 2'643 fr. 80, TVA et débours inclus, est allouée à Me Stefan Graf. IV. Une indemnité de conseil d’office pour la procédure d'appel d'un montant de 1’236 fr. 60, TVA et débours inclus, est allouée à Me Silvia Gutierrez. V. Les frais de la procédure d'appel, par 6'040 fr. 40, y compris les indemnités allouées aux chiffres III et IV ci-dessus, sont mis par moitié, soit par 3'020 fr. 20, à la charge de N.________, le solde étant laissé à la charge de l’Etat. VI. N.________ sera tenu de rembourser à l’Etat le montant des indemnités en faveur de son défenseur d’office et du conseil d’office de G.________ prévues aux chiffres III et IV ci-dessus lorsque sa situation financière le permettra. VII. Le présent jugement est exécutoire. La présidente : Le greffier :</w:t>
      </w:r>
    </w:p>
    <w:p>
      <w:r>
        <w:t>- 26 - Du Le jugement qui précède, dont le dispositif a été communiqué par écrit aux intéressés le 22 juin 2022, est notifié, par l'envoi d'une copie complète, à : - Me Stefan Graf, avocat (pour N.________), - Me Silvia Gutierrez, avocate (pour G.________), - Ministère public central, et communiqué à : - M. le Président du Tribunal de police de l’arrondissement de Lausanne, - Mme la Procureure de l’arrondissement de Lausanne, - Service de la population, par l'envoi de photocopies.</w:t>
      </w:r>
    </w:p>
    <w:p>
      <w:r>
        <w:t>- 27 -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