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PE20.007813 vom 9. November 2022</w:t>
      </w:r>
    </w:p>
    <w:p>
      <w:r>
        <w:t>VD Tribunal cantonal, 2022-11-09, FR</w:t>
      </w:r>
    </w:p>
    <w:p>
      <w:r>
        <w:rPr>
          <w:b/>
        </w:rPr>
        <w:t xml:space="preserve">Quelle: </w:t>
      </w:r>
      <w:r>
        <w:t>https://mcp.opencaselaw.ch/entscheid/vd_gerichte_PE20.007813</w:t>
      </w:r>
    </w:p>
    <w:p>
      <w:r>
        <w:t>FR: VD_GERICHTE PE20.007813 du 9 novembre 2022</w:t>
      </w:r>
    </w:p>
    <w:p>
      <w:r>
        <w:t>IT: VD_GERICHTE PE20.007813 del 9 novembre 2022</w:t>
      </w:r>
    </w:p>
    <w:p>
      <w:pPr>
        <w:pStyle w:val="Heading2"/>
      </w:pPr>
      <w:r>
        <w:t>Erwägungen</w:t>
      </w:r>
    </w:p>
    <w:p>
      <w:r>
        <w:rPr>
          <w:b/>
        </w:rPr>
        <w:t>E. 14</w:t>
      </w:r>
    </w:p>
    <w:p>
      <w:r>
        <w:t>: « Si elle a l'impression que j'ai touché ses lèvres j'en suis désolé mais je n'étais pas à cet endroit-là »), pour dire par la suite : « J'ai touché la vulve pour dégager le point avec la main gauche, index et majeur » (PV aud. 8, I. 67 ss). Ce n'est qu'à l'audience de jugement que l'appelant a déclaré souffrir de tremblement essentiel, raison pour laquelle la patiente aurait mal interprété le geste. Ces déclarations largement évolutives enlèvent toute crédibilité à l'appelant. A cela s'ajoute qu'il s'est permis de discuter avec la partie plaignante de sa sexualité, lui disant que « c'était de la merde », alors même qu'elle avait consulté pour des maux de ventre, ce qui dénote un manque de professionnalisme. Cela a également été souligné dans le rapport de police qui relate une certaine inquiétude quant à la pratique de l'appelant, qui se prévaut de connaissances gynécologiques, celui-ci ayant, par exemple, introduit deux doigts dans le vagin d’une de ses patientes enceinte de neuf mois pour contrôler son col de l’utérus, geste médical pourtant hors de sa compétence. Pour tous ces motifs, il y a lieu de retenir que l'appelant n'est pas crédible, contrairement à la plaignante, dont la version doit être retenue. L'état de fait du jugement de première instance, identique à ce qui est décrit dans l'acte d'accusation, doit être confirmé. 4. 4.1 L'appelant soutient que les éléments constitutifs objectifs de l'art. 191 CP ne seraient pas réalisés. Selon lui, si on considère les éléments à l'aune de sa version des faits ou si on admet qu'un doute raisonnable persiste sur la séquence temporelle entre l'information donnée à la patiente et l'apposition de l'aiguille sur le point d'acupuncture se situant entre son vagin et son anus, la qualification des actes sous le chef d'inculpation de l'art. 191 CP tomberait. Par ailleurs, avant de planter l'aiguille, il serait courant d’effectuer un bref massage de la zone à piquer. Cela serait fait dans un contexte thérapeutique et n'aurait dès lors aucune connotation sexuelle. Enfin, la plaignante n'était pas incapable de résister,</w:t>
      </w:r>
    </w:p>
    <w:p>
      <w:r>
        <w:t>- 16 - dès lors qu'elle était consciente, qu’elle avait conservé un contact visuel avec le prévenu et qu’elle avait maintenu une conversation avec lui. 4.2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6B_23812019 du 16 avril 2019 consid. 2.1 ; TF 6B_6912018 du 11 juin 2018 consid. 4.1).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 ATF 119 IV 230 consid. 3a ; TF 6B_60/2015 du 25 janvier 2016 consid. 1.1.3).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w:t>
      </w:r>
    </w:p>
    <w:p>
      <w:r>
        <w:t>- 17 -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TF 6B_727/2019 du 27 septembre 2019 consid. 1.1).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TF 6B_586/2019 du 3 juillet 2019 consid. 1.4 ; TF 6B_578/2018 du 20 mars 2019 consid. 2.3.2 ; TF 6B 996/2017 du 7 mars 2018 consid. 2 ; TF 66_17/2016 du 18 juillet 2017 consid. 1.4.2 ; TF 6B_60/2015 du 25 janvier 2016 consid. 1.1).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(TF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Maier, Basler Kommentar, Strafgesetzbuch, 3e éd. 2013, n. 5 ad art. 191 CP).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w:t>
      </w:r>
    </w:p>
    <w:p>
      <w:r>
        <w:t>- 18 - peu, soit qu'elle ait pris des initiatives, soit qu'elle ne se soit simplement pas opposée aux actes. Il suffit alors que l'auteur se soit aperçu de l'incapacité et l'ait exploitée. Le Tribunal fédéral a reconnu l'incapacité de résister des patientes allongées sur une chaise d'examen gynécologique. Leur volonté est affectée par leur position sur la chaise d'examen, qui ne leur permet pas de voir ce qui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est sur le point d'abuser d'elles (TF 6B_920/2009 du 18 février 2010 consid. 3.3.2 ; ATF 133 IV 49 consid. 7.4 p. 56 s, 103 IV 165/166).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(TF 6B_920/2009 du 18 février 2010 consid. 3.3.2 ; ATF 133 IV 49 consid. 7 p. 55 s.). Ainsi, un physiothérapeute qui glisse soudainement son doigt dans le vagin d'une patiente nue couchée sur le ventre se rend coupable d'acte d'ordre sexuel sur une personne incapable de résistance, car, au vu de sa position, la victime n'est pas en mesure d'empêcher l'atteinte à l'intégrité sexuelle (ATF 133 IV 49, JT 2009 IV 17 ; TF 6B_436/2010 ; TF 6B_920/2009 consid. 3.3.2). Sur le plan subjectif, l'art. 191 CP requiert l'intention, étant précisé que le dol éventuel suffit (TF 6B_578/2018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w:t>
      </w:r>
    </w:p>
    <w:p>
      <w:r>
        <w:t>- 19 - 2.1 ; TF 6B_996/2017 du 7 mars 2018 consid. 1.1 ; TF 6B_60/2015 du 25 janvier 2016 consid. 1.2.1). Déterminer ce qu'une personne a su, envisagé, voulu ou accepté relève des constatations de fait (ATF 142 IV 137 consid. 12 ; ATF 141 IV 369 consid. 6.3). 4.3 En l'espèce, l'appelant plaide le geste médical et le doute sur l'espace temporel entre l'information à la patiente et le geste consistant à implanter l'aiguille après un court massage du point. L'argument est vain. En effet, l'appelant a apposé ses doigts sur la vulve de la plaignante, alors que le point d'acuponcture qu'il eut fallu masser selon sa version, se situe entre le vagin et l'anus. Il ne s'agissait dès lors pas d'un geste médical, mais bien d'un geste à connotation sexuelle, ce qui est corroboré par le fait que l'appelant s'était préalablement donné pour mission, si l'on comprend bien, d'améliorer la vie sexuelle de sa patiente, qualifiée de « merde », alors qu'elle consultait pour une toute autre raison. Un éventuel silence de la patiente après qu'un geste médical lui aurait été expliqué n'est dès lors d'aucun secours. Le fait d'être allongé sur une table de soins, dénudée et recouverte d'aiguilles, réalise assurément la condition de l'incapacité de résistance, ce que le prévenu ne pouvait ignorer. Par ailleurs, le fait que la plaignante n'ait pas manifesté son désaccord avec le geste sexuel se comprend parfaitement, dès lors qu'elle a été surprise par ce geste, alors qu'elle était en confiance dans un rapport patient-soignant, et qu'il a été furtif, si l'on tient compte du temps nécessaire pour réaliser qu'il n'est plus question de soin mais bien d'abus. On ne peut pas reprocher à la partie plaignante de ne pas avoir réagi ultérieurement et d'avoir laissé l'appelant continuer à apposer à tout le moins une aiguille, dès lors qu'elle était très vraisemblablement en état de choc. Quoiqu'il en soit, ces événements postérieurs ne changent rien au caractère répréhensible du geste sexuel, intervenu avant. Partant, tous les éléments constitutifs de l'infraction de l'art. 191 CP sont réalisés. 5. 5.1 A titre subsidiaire, l'appelant plaide l'erreur sur les faits. Il soutient qu’en l'absence de réaction de la partie plaignante, il n'aurait pas</w:t>
      </w:r>
    </w:p>
    <w:p>
      <w:r>
        <w:t>- 20 - été en mesure de comprendre qu'elle n'était pas consentante. Il avait recueilli l'aval de la plaignante et l'avait informé de l'intervention, si bien qu'il était légitimement en mesure de penser qu'il pouvait pratiquer l'apposition de l'aiguille. L'absence de réaction ultérieure de la plaignante, quel qu'en soit l'explication, ne pouvait lui permettre d'en juger autrement. 5.2 Aux termes de l'art. 13 al. 1 CP, quiconque agit sous l’influence d’une appréciation erronée des faits est jugé d’après cette appréciation si elle lui est favorable. Agit donc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6B_943/2019 du 7 février 2020 consid. 4.1 ; TF 6B_1012/2017 du 23 mars 2018 consid. 2.1 ; TF 6B_996/2017 du 7 mars 2018 consid. 4.2). Déterminer ce qu’une personne a su, envisagé, voulu ou accepté relève des constatations de fait (ATF 142 IV 137 consid. 12 ; ATF 141 IV 369 consid. 6.3). 5.3 L'appelant fait à nouveau fausse route. Il n'était pas question de consentir à un geste médical, mais bien à un geste à connotation sexuelle. Autrement dit, le fait que la plaignante aurait donné son accord pour le geste médical, soit l’implantation d’une aiguille sur le point d’acupuncture situé entre le vagin et l’anus, ne permettait nullement à l’appelant de penser que celle-ci lui donnait également son accord pour appuyer ses doigts sur la vulve de sa patiente, geste à connotation sexuelle, qui plus est intervenu antérieurement. Le fait qu'il savait sa patiente dans l'incapacité de réagir pour les motifs expliqués sous chiffre 4.3 ci-dessus suffit à réaliser l'élément constitutif subjectif. 6.</w:t>
      </w:r>
    </w:p>
    <w:p>
      <w:r>
        <w:t>- 21 - 6.1 L’appelant, qui conclut à son acquittement, ne conteste pas la quotité de la peine infligée en tant que telle. Elle doit toutefois être vérifiée d'office. 6.2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6.3 En l’espèce, la culpabilité du prévenu est importante. En effet, il a porté atteinte à la liberté et à l’intégrité sexuelles d’une personne inapte à se défendre, dans le seul but de satisfaire son plaisir sexuel. Il s’en est pris à une patiente, qui avait placé en lui toute sa confiance et pensait être en sécurité avec lui. Il a fait fi des effets néfastes de ses agissements sur G.________, qui demeure marquée par les événements. En outre, il persiste à nier les faits. Il n’a ainsi pas pris conscience de la gravité de ses actes. A décharge, il y a lieu de prendre en compte que le</w:t>
      </w:r>
    </w:p>
    <w:p>
      <w:r>
        <w:t>- 22 - prévenu est un homme intégré socialement. Son absence d’antécédent est un élément neutre. Pour des motifs de prévention spéciale, seule une peine privative de liberté est susceptible de réprimer le comportement de l'appelant. Au vu de ces éléments, c’est une peine privative de liberté de 8 mois qui doit être prononcée. Les conditions étant remplies, cette peine peut être assortie du sursis, le délai d’épreuve étant fixé à deux ans. Enfin, vu le sursis octroyé pour la peine principale, une amende à titre de sanction immédiate doit être prononcée. Le montant de 1’500 fr., retenu par le premier juge, ne prête pas le flanc à la critique. Il en va de même de la peine privative de liberté de substitution en cas de non-paiement fautif de l’amende arrêtée à 15 jours. 7. La condamnation de l’appelant ayant été confirmée, il n’y a pas matière à révoquer l’octroi des conclusions civiles à G.________, à raison de 3'500 fr., à titre d’indemnité pour tort moral. Il est en effet indéniable que la plaignante a subi un tort moral en raison des actes illicites commis par I.________. Au regard de l’ensemble des circonstances, l’allocation du montant précité est justifiée, quotité que l’appelant ne conteste d’ailleurs pas en tant que telle. 8. Compte tenu de la confirmation de sa condamnation, il n’y a pas matière à revoir la mise à la charge de l’appelant des frais judiciaires de première instance (art. 426 al. 1 CPP). Pour les mêmes motifs, il n’y a pas lieu de lui allouer une indemnité pour tort moral. 9. En définitive, l’appel doit être rejeté et le jugement confirmé.</w:t>
      </w:r>
    </w:p>
    <w:p>
      <w:r>
        <w:t>- 23 - Me Clémence Demay, avocate-stagiaire en l’étude de Me Alexandre Curchod, défenseur d’office d’I.________, a produit une liste des opérations faisant état d’un total de 2.9 heures d’activité d’avocat breveté et de 17.1 heures d’activité d’avocat-stagiaire. Ces durées sont légèrement trop élevées. Il ne sera pas tenu compte des postes « FT », ainsi que du poste « Préparation du bordereau », pour lesquels l’avocat a consacré 1 heure au total, dès lors qu’ils constituent du travail de secrétariat qui ne saurait être indemnisé au tarif horaire de l’activité d’avocat. En outre la durée de l’audience a été surestimée. C’est ainsi un total de 1.9 heures d’activité d’avocat breveté et de 16.6 heures d’activité d’avocat-stagiaire qui doit être retenu. Partant, une indemnité de 2'467 fr. 80, correspondant à 1.9 heures au tarif horaire de 180 fr. et à 16.6 heures au tarif horaire de 110 fr., soit 2’168 fr. d’honoraires, plus une vacation à 80 fr., plus les débours, par 43 fr. 40, plus la TVA, par 176 fr. 40, doit être allouée à Me Alexandre Curchod. Me Géraldine Mattheeuws, en remplacement de Me Camille La Spada-Odier, conseil d’office de G.________, a produit une liste des opérations faisant état d’un total de 16h35 d’activité d’avocat. Cette durée est trop élevée. Le poste « Etude du jugement motivé » du 23 novembre 2022, pour lequel l’avocate a consacré 40 minutes, constitue une opération post-audience de première instance, qui est déjà comprise dans l’indemnité qui a été allouée à l’avocate pour la procédure de première instance. Les quatre postes « Courriel à la cliente » des 23 novembre 2022, 10, 22 et 30 mars 2023 constituent du travail de secrétariat qui ne saurait être indemnisé au tarif horaire de l’activité d’avocat. Les postes « Etude de la déclaration d’appel », « Etude du dossier », « Etude du dossier ; préparation de l’audience d’appel et de la plaidoirie », pour lesquels l’avocate a consacré 9h45, sont au total trop élevés, dès lors que c'est le même mandataire qui a effectué le travail en première et en deuxième instances et qu'il connaissait ainsi le dossier. Il ne sera retenu que 7 heures au total pour ces postes. Enfin, la durée de l’audience a été surestimée. C’est ainsi un total de 10 heures d’activité d’avocat breveté qui doit être retenu. Partant, une indemnité de 2'106 fr. 60, correspondant à 10 heures au tarif horaire de 180 fr., soit 1’800 fr. d’honoraires, plus une</w:t>
      </w:r>
    </w:p>
    <w:p>
      <w:r>
        <w:t>- 24 - vacation à 120 fr., plus les débours, par 36 fr., plus la TVA, par 15 fr. 60, doit être allouée à Me Camille La Spada-Odier. Vu l’issue de la cause, les frais de la procédure d’appel, par 7'144 fr. 40, constitués de l’émolument de jugement, par 2’570 fr. (art. 21 al. 1 et 2 TFIP [Tarif des frais de procédure et indemnités en matière pénale du 28 septembre 2010 ; BLV 312.03.1]), ainsi que de l’indemnité allouée à son défenseur d’office, par 2'467 fr. 80, et de l’indemnité allouée au conseil d’office, par 2'106 fr. 60, seront mis à la charge de I.________, qui succombe (art. 428 al. 1 CPP). I.________ ne sera tenu de rembourser à l’Etat le montant des indemnités en faveur des défenseur et conseil d’office que lorsque sa situation financière le permettra. La Cour d’appel pénale, appliquant les art. 40, 42 al. 1 et 4, 44 al. 1 et 3, 47, 50, 73, 106, 191 CP et 398 ss CPP, prononce : I. L’appel est rejeté. II. Le jugement rendu le 9 novembre 2022 par le Tribunal de police de l'arrondissement de La Côte est confirmé selon le dispositif suivant : "I. constate qu'I.________ s'est rendu coupable d'actes d'ordre sexuel commis sur une personne incapable de discernement ou de résistance ; II. condamne I.________ à une peine privative de liberté de 8 mois, avec sursis pendant 2 ans, et à une amende de 1'500 fr., convertible en 15 jours de peine privative de liberté de substitution en cas de non-paiement fautif de l'amende ;</w:t>
      </w:r>
    </w:p>
    <w:p>
      <w:r>
        <w:t>- 25 - III. dit qu'I.________ est le débiteur de G.________ et lui doit paiement immédiat de la somme de 3'500 fr., plus intérêt à 5% l'an dès le 27 avril 2020, à titre de réparation du tort moral, et renvoie pour le surplus G.________ à agir devant le juge civil ; IV. dit que le montant de l'amende de 1'500 fr. à laquelle I.________ est condamné selon chiffre II ci-dessus sera alloué à G.________, celle-ci ayant cédé à l'Etat une part correspondante de la créance qu'elle a contre le condamné selon chiffre III ci- dessus ; V. fixe l'indemnité allouée à Me Alexandre Curchod, défenseur d'office d'I.________, à un montant de 7'762 fr. 85, débours et TVA compris, étant précisé que ce conseil a d'ores et déjà perçu une avance de 3'000 fr. ; VI. fixe l'indemnité allouée à Me Camille La Spada-Odier, conseil juridique gratuit de G.________, à un montant de 9'324 fr. 65, débours et TVA compris ; VII. met à la charge d'I.________ les frais de procédure, qui s'élèvent à 25'512 fr. 65, montant qui comprend l'indemnité allouée à son défenseur d'office sous chiffre V ci-dessus et celle allouée au conseil juridique gratuit de la plaignante sous chiffre VI ci-dessus ; VIII. dit qu'I.________ est tenu de rembourser à l'Etat l'indemnité allouée à son défenseur d'office fixée sous chiffre V ci-dessus et celle allouée au conseil juridique de la plaignante sous chiffre VI ci-dessus dès que sa situation financière le permettra." III. Une indemnité de défenseur d'office pour la procédure d'appel d'un montant de 2'467 fr. 80, TVA et débours inclus, est allouée à Me Alexandre Curchod. IV.Une indemnité de conseil d'office pour la procédure d'appel d'un montant de 2'106 fr. 60, TVA et débours inclus, est allouée à Me Camille La Spada-Odier.</w:t>
      </w:r>
    </w:p>
    <w:p>
      <w:r>
        <w:t>- 26 - V. Les frais d'appel, par 7'144 fr. 40, y compris les indemnités allouées aux défenseur et conseil d'office, sont mis à la charge d'I.________. VI.I.________ ne sera tenu de rembourser à l’Etat le montant des indemnités allouées aux défenseur et conseil d’office prévues aux ch. III et IV ci-dessus que lorsque sa situation financière le permettra. VII. Le jugement motivé est exécutoire. La présidente : La greffière : Du Le jugement qui précède, dont le dispositif a été communiqué par écrit aux intéressés le 26 mai 2023, est notifié, par l'envoi d'une copie complète, à : - Me Alexandre Curchod, avocat (pour I.________), - Me Camille La Spada-Odier, avocate (pour G.________), - Ministère public central, et communiqué à : - Mme la Présidente du Tribunal de police de l'arrondissement de La Côte, - Mme la Procureure de l'arrondissement de La Côte,</w:t>
      </w:r>
    </w:p>
    <w:p>
      <w:r>
        <w:t>- 27 -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