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PE20.007487 vom 29. September 2022</w:t>
      </w:r>
    </w:p>
    <w:p>
      <w:r>
        <w:t>VD Tribunal cantonal, 2022-09-29, FR</w:t>
      </w:r>
    </w:p>
    <w:p>
      <w:r>
        <w:rPr>
          <w:b/>
        </w:rPr>
        <w:t xml:space="preserve">Quelle: </w:t>
      </w:r>
      <w:r>
        <w:t>https://mcp.opencaselaw.ch/entscheid/vd_gerichte_PE20.007487</w:t>
      </w:r>
    </w:p>
    <w:p>
      <w:r>
        <w:t>FR: VD_GERICHTE PE20.007487 du 29 septembre 2022</w:t>
      </w:r>
    </w:p>
    <w:p>
      <w:r>
        <w:t>IT: VD_GERICHTE PE20.007487 del 29 settembre 2022</w:t>
      </w:r>
    </w:p>
    <w:p>
      <w:pPr>
        <w:pStyle w:val="Heading2"/>
      </w:pPr>
      <w:r>
        <w:t>Erwägungen</w:t>
      </w:r>
    </w:p>
    <w:p>
      <w:r>
        <w:rPr>
          <w:b/>
        </w:rPr>
        <w:t>E. 5.1</w:t>
      </w:r>
    </w:p>
    <w:p>
      <w:r>
        <w:t>L’appelant fait valoir que sa culpabilité a été mal évaluée. Pour lui, la quantité de produit stupéfiant avait été surévaluée ; en outre, il</w:t>
      </w:r>
    </w:p>
    <w:p>
      <w:r>
        <w:t>- 27 - n’aurait pas fui la Suisse pour échapper aux mesures de surveillance et il n’avait jamais été condamné pour infraction à la LStup.</w:t>
      </w:r>
    </w:p>
    <w:p>
      <w:r>
        <w:rPr>
          <w:b/>
        </w:rPr>
        <w:t>E. 5.2.1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5.2.2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fixée à 18 grammes pour la cocaïne, à partir de laquelle le cas doit être considéré comme grave au sens de l'art. 19 al. 2 let. a LStup (ATF 121 IV 193 consid. 2b/aa ; TF 6B_1192/2019 consid. 1.1 ; TF 6B_780/2018 consid. 2.1). Le type de drogue et sa pureté doivent aussi être pris en considération (ATF 122 IV 299 consid. 2c ; ATF 121 IV 193).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w:t>
      </w:r>
    </w:p>
    <w:p>
      <w:r>
        <w:t>- 28 - agit pour financer sa propre consommation de celui qui participe à un trafic uniquement poussé par l'appât du gain (TF 6B_1192/2019 précité ; TF 6B_780/2018 précité ; TF 6B 807/2017 du 30 janvier 2018 consid. 2.1).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5.2.3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5.3</w:t>
      </w:r>
    </w:p>
    <w:p>
      <w:r>
        <w:t>Les arguments de l’appelant dirigés contre la quotité de la peine sont vains. Sa culpabilité est extrêmement lourde. La quantité de produit trafiqué doit être confirmée comme exposé ci-dessus et l’ampleur du trafic est impressionnante (14,094 kg bruts de cocaïne, soit plus de 6 kg de masse pure [6'356 g], ainsi que 20 à 40 kg de marijuana proposée à la vente). A cet égard, la quantité de drogue écoulée n’a pas, à quelques centaines de grammes près, l’importance que lui prête l’appelant, s’agissant d’un poids net de cocaïne très supérieur à la limite de 18 grammes à partir de laquelle le cas doit être considéré comme grave au sens de l'art. 19 al. 2 let. a LStup. L’auteur a arrêté toute activité professionnelle pour se consacrer à son trafic, au demeurant international. L’aggravante du métier doit être retenue. Il en va de même du concours</w:t>
      </w:r>
    </w:p>
    <w:p>
      <w:r>
        <w:t>- 29 - avec le blanchiment (art. 305bis al. 1 CP), non contesté. L’absence d’antécédents de l’auteur – qui constitue un facteur neutre (ATF 136 IV 1) – montre une certaine habilité pour échapper aux investigations, ce qui a d’ailleurs été mis en évidence pendant l’enquête, même si, il est vrai, l’appelant n’a peut-être pas été à Marbella aussi longtemps que ce que retient le jugement. En toutes hypothèses, le prévenu n’en a pas moins réussi à échapper à cette surveillance pendant quelques mois, se sentant probablement surveillé. Cela témoigne, si besoin en était, de son habileté et de sa détermination. Puis, après son retour en Suisse, il a repris son activité criminelle, estimant probablement avoir déjoué la piste des enquêteurs. Qui plus est, le prévenu a réalisé un chiffre d’affaires et un bénéfice importants, sur une période relativement brève. Il a agi par pur appât du gain, étant précisé qu’il a par ailleurs admis ne pas être lui- même consommateur de produits stupéfiants. Malgré sa formation professionnelle et son travail, et entouré par sa famille, il a ainsi choisi la voie de la criminalité dans le seul dessein de réaliser des gains importants au moindre effort et à bref délai. Les actes incriminés n’ont pris fin qu’avec son arrestation, grâce à de lourds moyens techniques de surveillance mis en place par les enquêteurs. En outre, comme l’a relevé de manière particulièrement pertinente le Tribunal criminel, le prévenu a très minutieusement organisé son trafic. C’est ainsi qu’il ne conditionnait pas les produits à domicile mais dans un local [...] loué au nom d’un tiers ; il ne conservait pas ses profits chez lui mais dans un local genevois ; il n’utilisait pas des cartes SIM réglementaires pour communiquer avec ses fournisseurs et clients mais en avait acheté dix sous une fausse identité afin de brouiller les pistes ; il ne roulait pas avec un véhicule immatriculé à son nom mais louait à répétition des véhicules de location pour éviter d’être tracé ; il convertissait les gains en euros pour en entraver la traçabilité. Ce professionnalisme acquis en seulement quelques mois et l’énergie criminelle considérable déployée ne rendent que plus patent encore le caractère dangereux du trafic du prévenu. L’appelant occupait un haut niveau dans la hiérarchie du trafic, comme cela ressort des quantités et de la pureté de la drogue achetée. Sa collaboration à l’enquête a été</w:t>
      </w:r>
    </w:p>
    <w:p>
      <w:r>
        <w:t>- 30 - médiocre. En effet, il n’a eu de cesse de minimiser ses actes et de refuser de s’expliquer sur des éléments de fait portés à sa connaissance. C’est ainsi qu’il a, à l’audience d’appel encore, indiqué que ce qu’il y avait dans le box ne lui appartenait pas, s’agissant tant de l’argent que de la drogue. Il se limite à reconnaitre avoir participé à un trafic de cocaïne portant sur une quantité de 2 kg, respectivement de peu inférieure (1'920 g), qui lui a procuré un gain net d’approximativement 110'000 fr., tout en admettant avoir acquis la cocaïne qui se trouvait dans les pièces 005, 006, 007, 008 et 015. Enfin, il persiste à ne pas prendre conscience de la gravité de la mise en danger de la santé des consommateurs qu’il a causée en mettant sur le marché une grande quantité de cocaïne. Ces éléments témoignent d’un manque d’amendement. Les quelques facteurs à décharge que l’on peut discerner sont singulièrement ténus et ne portent pas sur la période des actes incriminés. Tout au plus peut-on porter au crédit de l’appelant le fait qu’il a commencé une formation en autodidacte de coach sportif en détention et qu’il nourrit des projets professionnels apparaissant solides, en exprimant le souhait d’entreprendre une formation de conducteur de travaux dès qu’il bénéficierait d’un allègement de son régime de détention ; ses projets semblent d’autant plus prometteurs que son beau-père a, à l’audience de première instance, confirmé être en mesure de lui dispenser une telle formation (jugement, p. 19).</w:t>
      </w:r>
    </w:p>
    <w:p>
      <w:r>
        <w:rPr>
          <w:b/>
        </w:rPr>
        <w:t>E. 5.4</w:t>
      </w:r>
    </w:p>
    <w:p>
      <w:r>
        <w:t>L’infraction la plus grave est celle à la LStup, qu’il y a lieu de réprimer par une peine privative de liberté d’une quotité de sept ans. L’infraction de blanchiment sera sanctionnée d’une peine privative de liberté d’un an. La peine privative de liberté de huit ans résultant du concours d’infractions doit ainsi être confirmée.</w:t>
      </w:r>
    </w:p>
    <w:p>
      <w:r>
        <w:rPr>
          <w:b/>
        </w:rPr>
        <w:t>E. 6</w:t>
      </w:r>
    </w:p>
    <w:p>
      <w:r>
        <w:t>La détention subie par l’appelant depuis le jugement de première instance doit être déduite (art. 51 CP). Son maintien en exécution anticipée de peine sera également ordonné.</w:t>
      </w:r>
    </w:p>
    <w:p>
      <w:r>
        <w:t>- 31 -</w:t>
      </w:r>
    </w:p>
    <w:p>
      <w:r>
        <w:rPr>
          <w:b/>
        </w:rPr>
        <w:t>E. 7</w:t>
      </w:r>
    </w:p>
    <w:p>
      <w:r>
        <w:t>Vu l’issue de l’appel, l’émolument d’appel, par 3'120 fr. (art. 21 al. 1 et 2 TFIP [Tarif des frais de procédure et indemnités en matière pénale du 28 septembre 2010; RSV 312.03.1]) sera mis à la charge de l’appelant,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