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PE20.007323 vom 15. Mai 2020</w:t>
      </w:r>
    </w:p>
    <w:p>
      <w:r>
        <w:t>VD Tribunal cantonal, 2020-05-15, FR</w:t>
      </w:r>
    </w:p>
    <w:p>
      <w:r>
        <w:rPr>
          <w:b/>
        </w:rPr>
        <w:t xml:space="preserve">Quelle: </w:t>
      </w:r>
      <w:r>
        <w:t>https://mcp.opencaselaw.ch/entscheid/vd_gerichte_PE20.007323</w:t>
      </w:r>
    </w:p>
    <w:p>
      <w:r>
        <w:t>FR: VD_GERICHTE PE20.007323 du 15 mai 2020</w:t>
      </w:r>
    </w:p>
    <w:p>
      <w:r>
        <w:t>IT: VD_GERICHTE PE20.007323 del 15 maggio 2020</w:t>
      </w:r>
    </w:p>
    <w:p>
      <w:pPr>
        <w:pStyle w:val="Heading2"/>
      </w:pPr>
      <w:r>
        <w:t>Erwägungen</w:t>
      </w:r>
    </w:p>
    <w:p>
      <w:r>
        <w:rPr>
          <w:b/>
        </w:rPr>
        <w:t>E. 2</w:t>
      </w:r>
    </w:p>
    <w:p>
      <w:r>
        <w:t>En l’espèce, le requérant soutient avoir découvert l’auteur de l’infraction pour laquelle il a été condamné. Il s’agirait de A.________. Afin d’établir cette allégation, le requérant se prévaut d’un "formulaire d’identité du conducteur" désignant A.________. Il s’agit cependant d’une photocopie d’un document émis dans une autre affaire,</w:t>
      </w:r>
    </w:p>
    <w:p>
      <w:r>
        <w:t>- 6 - dont le numéro a été caviardé et remplacé par celui de l’affaire ici en cause de façon manuscrite. Le lieu et la date du document ont également été rajoutés à la main sur la photocopie. La désignation de A.________, et la signature de celui-ci, ne sont en tous les cas pas des originaux. La force probante de ce document est donc pratiquement nulle. De toute manière, le dénommé A.________ ne ferait que reconnaître avoir commis un excès de vitesse. Or, l’ordonnance dont le requérant demande la révision le condamne pour un dépassement de durée de stationnement. Il s’ensuit que la demande de révision est manifestement mal fondée.</w:t>
      </w:r>
    </w:p>
    <w:p>
      <w:r>
        <w:rPr>
          <w:b/>
        </w:rPr>
        <w:t>E. 2.1</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 ATF 143 IV 122 consid. 3.5), ou encore lorsque la demande de révision apparaît abusive (arrêts 6B_324/2019 du 24 avril 2019 consid. 3.1; 6B_882/2017 du 23 mars 2018 consid. 1.1 ; pour le tout TF 6B_662/2019 du 23 août 2019 consid. 1.1). Le refus d’entrer en matière s’impose alors pour des motifs d’économie de procédure, car si la situation est évidente, il n’y a pas de raison que l’autorité requière des déterminations (art. 412 al. 3 CPP) pour ensuite rejeter la demande (art. 413 al. 1 CPP ; TF 6B_574/2019 du 24 avril 2019 consid. 3.1 et réf. cit.).</w:t>
      </w:r>
    </w:p>
    <w:p>
      <w:r>
        <w:rPr>
          <w:b/>
        </w:rPr>
        <w:t>E. 3</w:t>
      </w:r>
    </w:p>
    <w:p>
      <w:r>
        <w:t>La demande de révision doit par conséquent être déclarée irrecevable. Les frais de la procédure de révision, correspondant ici à l’émolument de 550 fr. (art. 22 cum 21 al. 1 TFIP [Tarif des frais de procédure et indemnités en matière pénale du 28 septembre 2010 ; BLV 312.03.1]), sont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