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PE20.007298 vom 1. Oktober 2020</w:t>
      </w:r>
    </w:p>
    <w:p>
      <w:r>
        <w:t>VD Tribunal cantonal, 2020-10-01, FR</w:t>
      </w:r>
    </w:p>
    <w:p>
      <w:r>
        <w:rPr>
          <w:b/>
        </w:rPr>
        <w:t xml:space="preserve">Quelle: </w:t>
      </w:r>
      <w:r>
        <w:t>https://mcp.opencaselaw.ch/entscheid/vd_gerichte_PE20.007298</w:t>
      </w:r>
    </w:p>
    <w:p>
      <w:r>
        <w:t>FR: VD_GERICHTE PE20.007298 du 1 octobre 2020</w:t>
      </w:r>
    </w:p>
    <w:p>
      <w:r>
        <w:t>IT: VD_GERICHTE PE20.007298 del 1 ottobre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est recevable.</w:t>
      </w:r>
    </w:p>
    <w:p>
      <w:r>
        <w:rPr>
          <w:b/>
        </w:rPr>
        <w:t>E. 2</w:t>
      </w:r>
    </w:p>
    <w:p>
      <w:r>
        <w:t>- 4 -</w:t>
      </w:r>
    </w:p>
    <w:p>
      <w:r>
        <w:rPr>
          <w:b/>
        </w:rPr>
        <w:t>E. 2.1</w:t>
      </w:r>
    </w:p>
    <w:p>
      <w:r>
        <w:t>Le recourant conteste que les conditions de l’art. 310 al. 1 let. a CPP soient réunies s’agissant des infractions reprochées au prévenu. D’après lui, une enquête pénale devrait être ouverte par la procureure au motif que le principe « in dubio pro duriore » a été violé car, en cas de déclarations contradictoires, une enquête doit être ouverte et non l’inverse. Il soutient que l’appréciation définitive des déclarations des participants à la procédure incombe au tribunal du fond. Il invoque également les indices suivantsB.B.________ - B.B.________ est en litige avec le père du recourant dans le cadre de plusieurs procédures, de nature civile et de droit des constructions ; le prévenu a formé opposition à l’encontre d’un projet de construction du recourant, portant sur la parcelle n° [...] susmentionnée ; - seule la portion de la parcelle n° [...] acquise par le recourant a été traitée par le désherbant, alors même que la limite n’avait pas encore été établie. B.B.________ connaissait bien le terrain, étant donné qu’il l’avait exploité durant plusieurs années, et savait précisément où passait la future limite ; - de même, la parcelle n° [...] n’était pas encore piquetée en automne 2019, et vu que le prévenu avait exploité le terrain jusque-là, il était là encore le seul à en connaître la limite ; - le rapport d’expertise versé au dossier tendrait à démontrer que le traitement au désherbant ne visait pas une élimination des plantes nécessitant une intervention, et qu’il y avait là une intention de dégrader la végétation présente sur les deux parcelles acquises par le recourant.</w:t>
      </w:r>
    </w:p>
    <w:p>
      <w:r>
        <w:rPr>
          <w:b/>
        </w:rPr>
        <w:t>E. 2.2</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qui doit être appliquée selon l’adage « in dubio pro duriore », il importe donc que les éléments constitutifs de l'infraction ne soient manifestement</w:t>
      </w:r>
    </w:p>
    <w:p>
      <w:r>
        <w:t>- 5 - pas réunis (TF 6B_401/2020 du 13 août 2020 consid. 2.1). En d'autres termes, il faut être certain que l'état de fait ne constitue aucune infraction (ATF 137 IV 285 consid. 2.3, JdT 2012 IV 160).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En amont, une telle configuration exclut aussi, en principe, une décision de non-entrée en matière. Cela vaut en particulier lorsqu'il s'agit de délits commis typiquement " entre quatre yeux " pour lesquels il n'existe souvent aucune preuve objective (TF 6B_193/2018 du 3 juillet 2018 consid. 2.1 et les arrêts cités).</w:t>
      </w:r>
    </w:p>
    <w:p>
      <w:r>
        <w:rPr>
          <w:b/>
        </w:rPr>
        <w:t>E. 2.3</w:t>
      </w:r>
    </w:p>
    <w:p>
      <w:r>
        <w:t>Se rend coupable de dommages à la propriété celui qui aura endommagé, détruit ou mis hors d’usage une chose appartenant à autrui ou frappée d’un droit d’usage ou d’usufruit au bénéfice d’autrui (art. 144 al. 1 CP [Code pénal suisse du 21 décembre 1937 ; RS 311.0]). L’objet de l’infraction est une chose mobilière ou immobilière, dont les champs, arbres et autres plantations (Weissenberger, in : Niggli/Wiprächtiger (éd.), Basler Kommentar, Strafrecht II, 4e éd. 2019, n. 5 ad art. 144 CP, p. 3044 et les références). Il y a dommage lorsque la chose est altérée dans sa substance de telle sorte que, par exemple, son usage, sa fonction ou son aspect extérieur s’en trouvent modifiés (Weissenberger, op. cit., n. 22 ad</w:t>
      </w:r>
    </w:p>
    <w:p>
      <w:r>
        <w:t>- 6 - art. 144 CP, p. 3047 ; Hurtado Pozo, Droit pénal, Partie spéciale, 2009, nos 1087 ss, pp. 325 s. et les réf. cit.). L’auteur doit avoir agi intentionnellement, et le dol éventuel suffit (art. 12 CP ; Weissenberg, op. cit., n. 81 ad art. 144 CP, p. 3053).</w:t>
      </w:r>
    </w:p>
    <w:p>
      <w:r>
        <w:rPr>
          <w:b/>
        </w:rPr>
        <w:t>E. 2.4</w:t>
      </w:r>
    </w:p>
    <w:p>
      <w:r>
        <w:t>En l’espèce, les actes dénoncés par le recourant pourraient manifestement tomber sous le coup du dommage à la propriété, dès lors que le fait de répandre un désherbant dans un champ en modifie non seulement l’aspect esthétique, mais rend celui-ci impropre à remplir le but auquel il était destiné. Au vu des éléments contenus dans la plainte et des pièces produites à l’appui de celle-ci, le Ministère public ne pouvait pas exclure la commission par le prévenu de l’infraction en cause. D’abord, les dégâts causés par un puissant désherbant répandu par une boille à dos sont confirmés par l’expertise privée faite par un ingénieur (P. 6). Il semble en outre qu’un litige divise les parties de longue date. Enfin, la parcelle n° [...] avait fait l’objet d’un transfert de jouissance en octobre 2019, sans qu’elle ne soit encore piquetée ; selon ladite expertise privée, le traitement aurait précisément eu lieu sur la seule portion qui devait être transférée au recourant, et connue des seuls hoirs, et donc du prévenu. Se pose encore la question d’une éventuelle pollution des eaux au sens de la LEaux. Au vu de ces éléments, il y a lieu de considérer que les conditions d’un refus d’entrer en matière ne sont pas réunies et que la procureure doit ouvrir une instruction pénale pour entendre formellement le prévenu sur ces points, et procéder à tous les actes d’instruction propres à élucider les faits.</w:t>
      </w:r>
    </w:p>
    <w:p>
      <w:r>
        <w:rPr>
          <w:b/>
        </w:rPr>
        <w:t>E. 3</w:t>
      </w:r>
    </w:p>
    <w:p>
      <w:r>
        <w:t>En définitive, le recours doit être admis, l’ordonnance contestée annulée et le dossier de la cause renvoyé au Ministère public de l'arrondissement du Nord vaudois pour qu’il procède dans le sens des considérants. Les frais de la procédure de recours, constitués en l’espèce du seul émolument d’arrêt (art. 422 al. 1 CPP), par 660 fr. (art. 20 al. 1 TFIP</w:t>
      </w:r>
    </w:p>
    <w:p>
      <w:r>
        <w:t>- 7 - [Tarif des frais de procédure et indemnités en matière pénale du 28 septembre 2010 ; BLV 312.03.1]), seront laissés à la charge de l’Etat (art. 428 al. 4 CPP). Le recourant, qui a procédé avec l’assistance d’un avocat de choix et qui a obtenu gain de cause, a droit, à la charge de l’Etat, à une indemnité pour les dépenses occasionnées par la procédure de recours. Au vu de la nature de l’affaire, cette indemnité sera fixée à 750 fr., correspondant à deux heures et demie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15 fr., plus la TVA au taux de 7,7 %, par 58 fr. 90, soit à 823 fr. 70 au total, montant arrondi à 824 francs. Par ces motifs, la Chambre des recours pénale prononce : I. Le recours est admis. II. L’ordonnance du 28 mai 2020 est annulée. III. Le dossier de la cause est renvoyé au Ministère public de l’arrondissement du Nord vaudois pour qu’il procède dans le sens des considérants. IV. Les frais d’arrêt, par 660 fr. (six cent soixante francs), sont laissés à la charge de l’Etat.</w:t>
      </w:r>
    </w:p>
    <w:p>
      <w:r>
        <w:t>- 8 - V. Une indemnité de 824 fr. (huit cent vingt-quatre francs) est allouée à A.B.________ pour la procédure de recours, à la charge de l’Etat. VI. L’arrêt est exécutoire. Le président : La greffière : Du Le présent arrêt, dont la rédaction a été approuvée à huis clos, est notifié, par l'envoi d'une copie complète, à : - Me Yves Nicole, avocat (pour A.B.________), - Ministère public central, et communiqué à : - Mme la Procureure de l’arrondissement du Nord vaudois, - B.B.________,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