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PE20.006688 vom 6. Mai 2020</w:t>
      </w:r>
    </w:p>
    <w:p>
      <w:r>
        <w:t>VD Tribunal cantonal, 2020-05-06, FR</w:t>
      </w:r>
    </w:p>
    <w:p>
      <w:r>
        <w:rPr>
          <w:b/>
        </w:rPr>
        <w:t xml:space="preserve">Quelle: </w:t>
      </w:r>
      <w:r>
        <w:t>https://mcp.opencaselaw.ch/entscheid/vd_gerichte_PE20.006688</w:t>
      </w:r>
    </w:p>
    <w:p>
      <w:r>
        <w:t>FR: VD_GERICHTE PE20.006688 du 6 mai 2020</w:t>
      </w:r>
    </w:p>
    <w:p>
      <w:r>
        <w:t>IT: VD_GERICHTE PE20.006688 del 6 maggio 2020</w:t>
      </w:r>
    </w:p>
    <w:p>
      <w:pPr>
        <w:pStyle w:val="Heading2"/>
      </w:pPr>
      <w:r>
        <w:t>Erwägungen</w:t>
      </w:r>
    </w:p>
    <w:p>
      <w:r>
        <w:rPr>
          <w:b/>
        </w:rPr>
        <w:t>E. 1.1</w:t>
      </w:r>
    </w:p>
    <w:p>
      <w:r>
        <w:t>En vertu de l’art. 38 al. 1 LEP (Loi sur l'exécution des condamnations pénales du 4 juillet 2006 ; BLV 340.01), les décisions rendues sur recours par le Service pénitentiaire peuvent faire l'objet d'un recours auprès du Tribunal cantonal. Selon l’art. 38 al. 2 LEP, la procédure</w:t>
      </w:r>
    </w:p>
    <w:p>
      <w:r>
        <w:t>- 3 -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38 al. 3 LEP précise qu’en matière de sanctions disciplinaires, les motifs de recours sont limités à ceux fixés aux art. 95 et 97 LTF (Loi fédérale du 17 juin 2005 sur le Tribunal fédéral ; RS 173.110).</w:t>
      </w:r>
    </w:p>
    <w:p>
      <w:r>
        <w:rPr>
          <w:b/>
        </w:rPr>
        <w:t>E. 1.2</w:t>
      </w:r>
    </w:p>
    <w:p>
      <w:r>
        <w:t>Le recours s’exerce par le dépôt d’un mémoire écrit et dûment motivé (art. 390 al. 1 et 396 al. 1 CPP). Les exigences de motivation du recours sont posées à l’art. 385 al. 1 CPP. A teneur de cette disposition, la personne ou l’autorité qui recourt doit indiquer précisément les points de la décision qu’elle attaque (let. a), les motifs qui commandent une autre décision (let. b) et les moyens de preuves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rPr>
          <w:b/>
        </w:rPr>
        <w:t>E. 1.3</w:t>
      </w:r>
    </w:p>
    <w:p>
      <w:r>
        <w:t>Selon l’art. 110 al. 4 CPP,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légale, notamment, des assertions injurieuses pour le premier juge, les juges de l’autorité de recours ou pour des tiers. Le fait d'accuser des magistrats d'être des criminels est manifestement outrancier et inconvenant (TF 1B_387/2013 du 1er novembre 2013 ; CREP 18 février 2019/90 ; CREP 24 février 2020/136). Le juge qui refuse d'entrer en matière sur une écriture outrancière à l'égard d'une partie ou d'un tiers ne commet pas un déni de justice formel s'il le fait après avoir vainement donné l'occasion à l'auteur</w:t>
      </w:r>
    </w:p>
    <w:p>
      <w:r>
        <w:t>- 4 - de cette écriture de la corriger (TF 6B_1238/2016 du 25 septembre 2017 consid. 6.2 ; TF 6B_933/2015 du 22 juin 2016 consid. 3.1 et 3.3 ; TF 1B_465/2013 du 8 janvier 2014 consid. 2 ; CREP 30 octobre 2019/770 ; CREP 24 février 2020/136).</w:t>
      </w:r>
    </w:p>
    <w:p>
      <w:r>
        <w:rPr>
          <w:b/>
        </w:rPr>
        <w:t>E. 2</w:t>
      </w:r>
    </w:p>
    <w:p>
      <w:r>
        <w:t>Dans son acte, le recourant se borne, d’une part, à indiquer, sans plus amples explications, qu’il n’a jamais menacé l’un de ses codétenus et, d’autre part, à critiquer les autorités pénitentiaires, parce qu’elles refuseraient d’entrer en matière sur les accusations qu’il porte à l’encontre de ce dernier et occulteraient une partie de ses procédures. Ainsi, cet écrit ne permet pas de comprendre quels points de la décision du 6 avril 2020 sont contestés, ni les motifs qui commanderaient une autre décision. Il comporte en outre des propos outranciers et inconvenants à l’égard des autorités pénitentiaires et de la magistrature vaudoises, G.________ assimilant ces entités à la mafia. De tels propos sont absolument inadmissibles. Avisé que le contenu de son acte ne répondait pas aux exigences de forme de l’art. 385 al. 1 CPP et qu’il était, de surcroît, inconvenant, le recourant a été invité, le 22 avril 2020, à le mettre en conformité dans un délai de dix jours. Dans son envoi du 28 avril 2020, le recourant n’a pas corrigé le contenu de son acte daté du 8 avril 2020. Il s’est en effet contenté de remplacer quelques expressions par la mention « CENSURE ». Il a en outre laissé quelques propos inconvenants, comme par exemple le fait que les intervenants du Service pénitentiaire étaient selon lui « tous des scientologues ». Par ailleurs, il a annoté l’avis du 22 avril 2020 par les termes suivants : « Vous voulez m’apprendre les bonnes manières… MAFIA » ; « C’est moi qui vais vous apprendre les bonnes manières… ». De plus, il a assimilé l’administration vaudoise à une organisation criminelle et a indiqué que le Président de céans serait inculpé avec le juge [...] [...], et qu’il ne négociait pas avec des terroristes. Dans ces conditions, on ne saurait admettre que le recours a été rectifié en temps utile.</w:t>
      </w:r>
    </w:p>
    <w:p>
      <w:r>
        <w:t>- 5 -</w:t>
      </w:r>
    </w:p>
    <w:p>
      <w:r>
        <w:rPr>
          <w:b/>
        </w:rPr>
        <w:t>E. 3</w:t>
      </w:r>
    </w:p>
    <w:p>
      <w:r>
        <w:t>Au vu de ce qui précède, l’acte déposé le 8 avril 2020 par G.________ est irrecevable.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550 fr. (cinq cent cinquante francs), sont mis à la charge d’G.________. III. L’arrêt est exécutoire. Le président : Le greffier : Du Le présent arrêt, dont la rédaction a été approuvée à huis clos, est notifié, par l'envoi d'une copie complète, à : - M. G.________, - Ministère public central,</w:t>
      </w:r>
    </w:p>
    <w:p>
      <w:r>
        <w:t>- 6 - et communiqué à : - Mme la Cheffe du Service pénitentiaire,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