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PE20.006509 vom 27. April 2021</w:t>
      </w:r>
    </w:p>
    <w:p>
      <w:r>
        <w:t>VD Tribunal cantonal, 2021-04-27, FR</w:t>
      </w:r>
    </w:p>
    <w:p>
      <w:r>
        <w:rPr>
          <w:b/>
        </w:rPr>
        <w:t xml:space="preserve">Quelle: </w:t>
      </w:r>
      <w:r>
        <w:t>https://mcp.opencaselaw.ch/entscheid/vd_gerichte_PE20.006509</w:t>
      </w:r>
    </w:p>
    <w:p>
      <w:r>
        <w:t>FR: VD_GERICHTE PE20.006509 du 27 avril 2021</w:t>
      </w:r>
    </w:p>
    <w:p>
      <w:r>
        <w:t>IT: VD_GERICHTE PE20.006509 del 27 aprile 2021</w:t>
      </w:r>
    </w:p>
    <w:p>
      <w:pPr>
        <w:pStyle w:val="Heading2"/>
      </w:pPr>
      <w:r>
        <w:t>Erwägungen</w:t>
      </w:r>
    </w:p>
    <w:p>
      <w:r>
        <w:rPr>
          <w:b/>
        </w:rPr>
        <w:t>E. 4</w:t>
      </w:r>
    </w:p>
    <w:p>
      <w:r>
        <w:t>L’appelant considère que même à retenir les faits comme présentés par la victime, il n'y aurait quand même pas contrainte sexuelle au sens de l’art. 189 CP. Il soutient tout d’abord que la victime n'a pas manifesté d'une manière quelconque qu'elle n'aurait pas été d'accord. Il affirme ensuite n’avoir lui-même fait usage d'aucun moyen de contrainte physique ou psychique.</w:t>
      </w:r>
    </w:p>
    <w:p>
      <w:r>
        <w:rPr>
          <w:b/>
        </w:rPr>
        <w:t>E. 4.1.1</w:t>
      </w:r>
    </w:p>
    <w:p>
      <w:r>
        <w:t>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6B_71/2015 du 19 novembre 2015 consid. 2.1.2). L'art. 189 CP, tout comme l'art. 190 CP réprimant le viol,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w:t>
      </w:r>
    </w:p>
    <w:p>
      <w:r>
        <w:t>- 24 - principalement comme des actes d'agression physique (ATF 131 IV 107 consid. 2.2). Les pressions d'ordre psychique concernent les cas où l'auteur provoque chez la victime des effets d'ordre psychique, tels que la surprise, la frayeur ou le sentiment d'une situation sans espoir, propres à la faire céder (ATF 128 IV 106 consid. 3a/bb ; ATF 126 IV 124 consid. 2b). En cas de pressions d'ordre psychique, il n'est pas nécessaire que la victime ait été mise hors d'état de résister (ATF 124 IV 154 consid. 3b). Une situation d'infériorité physique ou de dépendance sociale et émotionnelle peut suffire. Pour déterminer si l'on se trouve en présence d'une contrainte sexuelle ou d'un viol, il faut procéder à une appréciation globale des circonstances concrètes déterminantes (ATF 131 IV 107 consid. 2.2 ; TF 6B_1265/2019 du 9 avril 2020 consid. 3.3.2 publié à l'ATF 146 IV 153).</w:t>
      </w:r>
    </w:p>
    <w:p>
      <w:r>
        <w:rPr>
          <w:b/>
        </w:rPr>
        <w:t>E. 4.1.2</w:t>
      </w:r>
    </w:p>
    <w:p>
      <w:r>
        <w:t>En introduisant la notion de « pressions psychiques », le législateur a voulu viser les cas où la victime se trouve dans une situation sans espoir, sans pour autant que l'auteur ait recouru à la force physique ou à la violence (ATF 128 IV 106 consid. 3a/bb ; ATF 122 IV 97 consid. 2b).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(TF 6B_326/2019 du 14 mai 2019 consid. 3.3.1).</w:t>
      </w:r>
    </w:p>
    <w:p>
      <w:r>
        <w:t>- 25 - Dans un arrêt récent, le Tribunal fédéral a précisé la jurisprudence relative aux contraintes sexuelles commises par un auteur dans son proche entourage social, en particulier dans le cadre familial (ATF 146 IV 153).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(consid. 3.5.5). Plus l'enfant est jeune, moins les exigences en matière de pressions psychiques sont élevées (consid. 3.3.3 et 3.5.7 et les réf. citées). Selon les circonstances, une menace ou l'ordre explicite à l'enfant de se taire n'est pas nécessaire pour admettre l'usage de la contrainte (consid. 3.6.1).</w:t>
      </w:r>
    </w:p>
    <w:p>
      <w:r>
        <w:rPr>
          <w:b/>
        </w:rPr>
        <w:t>E. 4.2.1</w:t>
      </w:r>
    </w:p>
    <w:p>
      <w:r>
        <w:t>En l’espèce, s'agissant du consentement, l'appelant soutient que la victime n'a pas manifesté son désaccord mais jouait au contraire avec lui. Il fait grand cas d'une déclaration de l'intéressée selon laquelle elle s'était rendue compte le lendemain du fait qu'elle n'était pas consentante. Il en déduit qu'il n'avait lui-même aucun moyen de s'en rendre compte. De même il fait valoir qu'elle avait été amicale avec lui après les faits. Les arguments de l’appelant ne sont pas convaincants. La plaignante mal à l'aise a multiplié les gestes d'échappatoire, ce qui démontre qu'elle n'était pas d'accord (P. 28). Elle n'a pas su le dire autant qu'elle l'aurait voulu, mais elle a néanmoins clairement adopté une attitude fuyante voire oppositionnelle en le repoussant à plusieurs reprises, en remontant rapidement son pantalon, en remettant son T-shirt, et en lui disant qu’elle trouvait ce qu’il faisait bizarre en raison de leur différence d’âge, en croisant les jambes dans la voiture et en lui disant qu’elle avait ses règles. L’ensemble de ces signes étaient à l’évidence suffisants pour que l’appelant – qui a déjà été condamné deux fois pour des actes d’ordre</w:t>
      </w:r>
    </w:p>
    <w:p>
      <w:r>
        <w:t>- 26 - sexuel avec des enfants – réalise que la jeune fille n’était pas consentante. Il a toutefois réagi en banalisant ou en ignorant ces signaux pourtant clairs. Le moyen, mal fondé, doit être rejeté.</w:t>
      </w:r>
    </w:p>
    <w:p>
      <w:r>
        <w:rPr>
          <w:b/>
        </w:rPr>
        <w:t>E. 4.2.2</w:t>
      </w:r>
    </w:p>
    <w:p>
      <w:r>
        <w:t>L'appelant soutient également qu'il n'a pas utilisé la contrainte physique, comme l'ont retenu les premiers juges parce qu'il avait « serré la victime contre lui à plusieurs reprises, s'était mis sur elle, usant ainsi de sa supériorité physique. » La Cour de céans considère toutefois que ce qui a permis à l’appelant de passer outre les signaux de la plaignante, ce n'est pas uniquement la force physique, mais l'exploitation d'une situation globale : supériorité physique, expérience due à la différence d'âge, événements au domicile du prévenu au neuvième étage (la victime mentionnant expressément cette circonstance comme une difficulté supplémentaire pour fuir), comportement lunatique. Sur ce dernier point, la plaignante décrit un prévenu qui change d'attitude lorsqu'il est contrarié, qui « pète un câble », au point qu'elle a peur de la violence de ses réactions, alors qu’on constate que devant les figures d'autorité (Fondation de probation, expert psychiatre, direction de l'établissement pénitentiaire, tribunal), il a une attitude excessivement soucieuse de plaire; on peut la croire, dès lors qu'il est condamné pour contrainte, sans contestation de sa part, pour avoir à deux reprises menacé des jeunes filles si elles ne le « débloquaient » pas sur un réseau social. Ainsi, si le prévenu se montre généralement « respectueux », c'est aussi un manipulateur qui ne se préoccupe pas des souhaits des autres (cf. PV aud. 1 pp. 6-7 ; PV aud. 6 p. 4 ; P. 74). Cela ressort d’ailleurs des conclusions de l’expertise psychiatrique (P. 80) et du rapport de la Fondation vaudoise de probation qui émet des craintes quant à l’authenticité de l’appelant (P. 123). Compte tenu de ce qui précède, force est de retenir que tous les éléments constitutifs de la contrainte sexuelle au sens de l’art. 189 CP sont réunis. La condamnation de l’appelant pour ce chef d’inculpation doit être confirmée et l’appel rejeté.</w:t>
      </w:r>
    </w:p>
    <w:p>
      <w:r>
        <w:t>- 27 -</w:t>
      </w:r>
    </w:p>
    <w:p>
      <w:r>
        <w:rPr>
          <w:b/>
        </w:rPr>
        <w:t>E. 5</w:t>
      </w:r>
    </w:p>
    <w:p>
      <w:r>
        <w:t>L'appelant estime la peine trop sévère. Ce grief repose non seulement sur la prémisse de sa libération de l'accusation de contrainte sexuelle, mais également sur le fait que les premiers juges auraient omis de tenir compte du fait qu'il y avait parfois uniquement tentative de contrainte ou tentative d’actes d’ordre sexuel avec des enfants.</w:t>
      </w:r>
    </w:p>
    <w:p>
      <w:r>
        <w:rPr>
          <w:b/>
        </w:rPr>
        <w:t>E. 5.1.1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w:t>
      </w:r>
    </w:p>
    <w:p>
      <w:r>
        <w:rPr>
          <w:b/>
        </w:rPr>
        <w:t>E. 5.1.2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w:t>
      </w:r>
    </w:p>
    <w:p>
      <w:r>
        <w:t>- 28 -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6B_1037/2018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5.1.3</w:t>
      </w:r>
    </w:p>
    <w:p>
      <w:r>
        <w:t>Selon l'art. 19 al. 2 CP, le juge atténue la peine si, au moment d'agir, l'auteur ne possédait que partiellement la faculté d'apprécier le caractère illicite de son acte ou de se déterminer d'après cette appréciation. Les principes qui président à la fixation de la peine en cas de diminution de la responsabilité ont été arrêtés dans l'arrêt publié aux ATF 136 IV 55 : une diminution de la responsabilité au sens de cette disposition conduit à une diminution de la faute et non de la peine. La réduction de celle-ci n'est que la conséquence de la faute plus légère (ATF 136 IV 55 consid. 5.5).</w:t>
      </w:r>
    </w:p>
    <w:p>
      <w:r>
        <w:t>- 29 -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importante. Sur la base de cette appréciation, le juge doit prononcer la peine en tenant compte des autres critères de fixation de la peine (ATF 136 IV 55 consid. 5.5). En cas de diminution de la responsabilité pénale, le juge doit procéder en deux étapes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consid. 5.7).</w:t>
      </w:r>
    </w:p>
    <w:p>
      <w:r>
        <w:rPr>
          <w:b/>
        </w:rPr>
        <w:t>E. 5.1.4</w:t>
      </w:r>
    </w:p>
    <w:p>
      <w:r>
        <w:t>Selon l'art. 22 al. 1 CP, le juge peut atténuer la peine si l'exécution d'un crime ou d'un délit n'est pas poursuivie jusqu'à son terme ou que le résultat nécessaire à la consommation de l'infraction ne se produit pas ou ne pouvait pas se produire. Il y a tentative si l'auteur a réalisé tous les éléments subjectifs de l'infraction et manifesté sa décision de la commettre, alors que les éléments objectifs font en tout ou partie défaut (TF 6B_54/2011 du 26 avril 2011).</w:t>
      </w:r>
    </w:p>
    <w:p>
      <w:r>
        <w:rPr>
          <w:b/>
        </w:rPr>
        <w:t>E. 5.2</w:t>
      </w:r>
    </w:p>
    <w:p>
      <w:r>
        <w:t>En l’espèce, l’appelant est reconnu coupable de contrainte (cas 3 et 9 de l’acte d’accusation ; cf. ch. 2.3 et 2.9 supra), d'actes d’ordre</w:t>
      </w:r>
    </w:p>
    <w:p>
      <w:r>
        <w:t>- 30 - sexuel avec des enfants (cas 1 à 9 de l’acte d’accusation ; cf. ch. 2.1 à 2.9 supra), de tentative d'actes d’ordre sexuel avec des enfants (cas 1, 3 et 5 de l’acte d’accusation ; cf. ch. 2.1, 2.3 et 2.5 supra), de contrainte sexuelle (cas 9 de l’acte d’accusation ; cf. ch. 2.9 supra) et enfin d’infraction à la LArm (cas 10 de l’acte d’accusation ; cf. ch. 2.10 supra). Les peines maximales prévues pour ces différentes infractions sont de dix ans pour la contrainte sexuelle (art. 189 CP), de cinq ans pour les actes d’ordre sexuel commis sur des enfants (art. 187 CP), de trois ans pour la contrainte (art. 181 CP) et enfin de trois ans pour l’infraction à la LArm (art. 33 LArm). Conformément à l’art. 47 CP, les premiers juges ont retenu, à charge, les antécédents, la gravité des biens juridiques lésés (liberté sexuelle et développement de mineurs), le nombre de cas (9 victimes), la durée des agissements et du concours d'infractions. A décharge, les magistrats ont tenu compte du fait que certains cas étaient demeurés au stade de la tentative, de la diminution légère de responsabilité, du bon comportement en détention, de l'admission d'une grande partie des faits, de l'acquiescement aux conclusions civiles, de l'apparente prise de conscience de la gravité des faits et enfin du travail d'introspection réalisé (jgt, p. 45). Ils ont considéré que la culpabilité de l’appelant était lourde à très lourde, alors que, sans tenir compte de la légère diminution de la responsabilité et de son comportement postérieur aux faits, elle aurait dû être considérée comme extrêmement lourde. Ces éléments sont pertinents. Comme les premiers juges, on peut admettre que pour l’infraction la plus grave, soit la contrainte sexuelle, une peine de 18 mois se justifie. Les neufs cas d’actes d’ordre sexuel avec des enfants et les trois cas où cette infraction en est restée au stade de la tentative justifiaient une augmentation de 18 mois. Contrairement à ce que soutient l’appelant, les premiers juges ont arrêté une peine théorique pour chaque cas pour fixer cette peine. Compte tenu du nombre de cas retenus et du mobile égoïste de l’appelant qui a manipulé des jeunes adolescentes pour</w:t>
      </w:r>
    </w:p>
    <w:p>
      <w:r>
        <w:t>- 31 - assouvir ses pulsions sexuelles, mais aussi du fait que seule son interpellation a permis de mettre fin au comportement de l’appelant, l’augmentation de 18 mois au total ne parait pas trop sévère. La contrainte et l’infraction à la LArm justifiaient chacune une aggravation de la peine privative de liberté d’un mois, ce qui n’est pas contesté, pour finalement obtenir une peine privative de liberté d’ensemble de 38 mois (jgmt, p. 46). Compte tenu de ce qui précède, la peine prononcée à l’encontre de l’appelant n’a rien d’excessif et doit être confirmée. L’appel est rejeté sur ce point également. Pour les motifs pertinents retenus par les premiers juges, il en va de même s’agissant du traitement ambulatoire ordonné ainsi que de l’expulsion du territoire suisse pendant 8 ans, mesures qui ne sont au demeurant pas contestées.</w:t>
      </w:r>
    </w:p>
    <w:p>
      <w:r>
        <w:rPr>
          <w:b/>
        </w:rPr>
        <w:t>E. 6</w:t>
      </w:r>
    </w:p>
    <w:p>
      <w:r>
        <w:t>novembre 2020 (arrêt CREP n° 862), les faits reprochés au prévenu ont été commis contre des mineures, soit des personnes nécessitant une protection particulière, ce qui justifie de se montrer plus sévère pour apprécier le pronostic de réitération. Dans ces circonstances, il convient de maintenir l’appelant en détention pour des motifs de sûreté. La détention subie depuis le jugement de première instance sera déduite de la peine infligée conformément à l’art. 51 CP.</w:t>
      </w:r>
    </w:p>
    <w:p>
      <w:r>
        <w:t>- 32 -</w:t>
      </w:r>
    </w:p>
    <w:p>
      <w:r>
        <w:rPr>
          <w:b/>
        </w:rPr>
        <w:t>E. 7</w:t>
      </w:r>
    </w:p>
    <w:p>
      <w:r>
        <w:t>En définitive, l’appel est rejeté et le jugement rendu le 27 avril 2021 par le Tribunal correctionnel de l’arrondissement de La Broye et du Nord vaudois confirmé dans son intégralité. Le conseil juridique gratuit de A.D.________ a produit en audience une liste d’opérations (P. 147) dont il n’y a pas lieu de s’écarter. C’est ainsi une indemnité de 1'925 fr. 35 qui sera allouée à Me Coralie Devaud pour la procédure d’appel, correspondant à 9 heures et 5 minutes d’activité au tarif horaire de 180 fr., à 32 fr. 70 de débours, à 120 fr. de vacation et à 137 fr. 65 de TVA. Vu l’issue de la cause, les frais de la procédure d’appel, par 12'055 fr. 35, constitués des émoluments de jugement et d’audience (art. 21 al. 1 et 2 TFIP [Tarif des frais de procédure et indemnités en matière pénale du 28 septembre 2010 ; BLV 312.03.1]), par 3’230 fr., des frais d’expertise psychiatrique, par 6’900 fr., ainsi que de l’indemnité d’office précitée, seront mis à la charge de A.W.________, qui succombe (art. 428 al. 1 CPP).</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