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PE20.006258 vom 15. Oktober 2021</w:t>
      </w:r>
    </w:p>
    <w:p>
      <w:r>
        <w:t>VD Tribunal cantonal, 2021-10-15, FR</w:t>
      </w:r>
    </w:p>
    <w:p>
      <w:r>
        <w:rPr>
          <w:b/>
        </w:rPr>
        <w:t xml:space="preserve">Quelle: </w:t>
      </w:r>
      <w:r>
        <w:t>https://mcp.opencaselaw.ch/entscheid/vd_gerichte_PE20.006258</w:t>
      </w:r>
    </w:p>
    <w:p>
      <w:r>
        <w:t>FR: VD_GERICHTE PE20.006258 du 15 octobre 2021</w:t>
      </w:r>
    </w:p>
    <w:p>
      <w:r>
        <w:t>IT: VD_GERICHTE PE20.006258 del 15 ottobre 2021</w:t>
      </w:r>
    </w:p>
    <w:p>
      <w:pPr>
        <w:pStyle w:val="Heading2"/>
      </w:pPr>
      <w:r>
        <w:t>Erwägungen</w:t>
      </w:r>
    </w:p>
    <w:p>
      <w:r>
        <w:rPr>
          <w:b/>
        </w:rPr>
        <w:t>E. 6.1</w:t>
      </w:r>
    </w:p>
    <w:p>
      <w:r>
        <w:t>L’appelant, qui conclut à son acquittement, subsidiairement à sa condamnation pour lésions corporelles simples en lieu et place d’agression, ne conteste ni le genre, ni la quotité de la peine en tant que tels. Ceux-ci doivent néanmoins être examinés d’office au regard des impératifs de motivation et des principes prévalant en matière de fixation des peines.</w:t>
      </w:r>
    </w:p>
    <w:p>
      <w:r>
        <w:rPr>
          <w:b/>
        </w:rPr>
        <w:t>E. 6.1.1</w:t>
      </w:r>
    </w:p>
    <w:p>
      <w:r>
        <w:t>et les références citées ; TF 6B_183/2021 du 27 octobre 2021 consid. 1.3).</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w:t>
      </w:r>
    </w:p>
    <w:p>
      <w:r>
        <w:t>- 32 - professionnelle, risque de récidive, etc.), sa vulnérabilité face à la peine, de même que son comportement après l’acte et au cours de la procédure pénale (ATF 142 IV 137 consid. 9.1, JdT 2016 I 169 ; ATF 141 IV 61 consid.</w:t>
      </w:r>
    </w:p>
    <w:p>
      <w:r>
        <w:rPr>
          <w:b/>
        </w:rPr>
        <w:t>E. 6.2.2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juge doit examiner si, eu égard au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consid. 2.3.2, JdT 2017 IV 129 et les références citées ; TF 6B_144/2019 du 17 mai 2019 consid. 4.3.1). Si, en revanche, l'art. 49 al. 2 CP ne peut être appliqué, ainsi parce que le genre de peine envisagé pour sanctionner les infractions antérieures au jugement précédent diffère de celui de la sanction déjà prononcée, le juge doit retenir une peine cumulative (ATF 145 IV 1 précité ; TF 6B_144/2019 précité ; TF 6B_911/2018 du 5 février 2019 consid. 1.2.2).</w:t>
      </w:r>
    </w:p>
    <w:p>
      <w:r>
        <w:rPr>
          <w:b/>
        </w:rPr>
        <w:t>E. 6.3</w:t>
      </w:r>
    </w:p>
    <w:p>
      <w:r>
        <w:t>La culpabilité de l’appelant ne doit pas être minimisée. En effet, celui-ci s’en est violemment pris à une personne qu’il ne connaissait pas avec l’aide de trois comparses parce qu’il avait reçu un projectile au cours d’un jeu dont il n’avait au demeurant pas respecté les règles. Pendant toute la durée de l’enquête, il a persisté à contester les faits qui lui étaient reprochés quand bien même il avait été formellement identifié, allant même jusqu’à convaincre ses camarades d’accuser une autre personne à sa place. S’il a finalement admis sa participation aux débats d’appel, il a néanmoins continué à minimiser son implication et à reporter la faute sur sa victime, plaidant la légitime défense et démontrant ainsi</w:t>
      </w:r>
    </w:p>
    <w:p>
      <w:r>
        <w:t>- 33 - qu’il n’a toujours pas pris conscience de la gravité de ses actes, alors qu’il a déjà été condamné à dix reprises entre 2014 et 2020, presque systématiquement pour des actes de violence. A sa décharge, il y a lieu de prendre en compte le fait qu’il semble avoir tiré profit de la psychothérapie entreprise et s’être repris en main, n’ayant plus été condamné depuis le début de l’année 2020, ayant fondé sa propre société et commencé à rembourser les dettes consécutives à ses précédentes condamnations. Dans le cadre de la présente procédure, l’appelant est reconnu coupable d’agression, infraction passible d’une peine privative de liberté de cinq ans au plus ou d’une peine pécuniaire. Compte tenu de ses antécédents, une peine privative de liberté ferme s’impose. Comme l’a relevé à juste titre le premier juge, les faits objets du présent jugement sont antérieurs aux condamnations de l’appelant des</w:t>
      </w:r>
    </w:p>
    <w:p>
      <w:r>
        <w:rPr>
          <w:b/>
        </w:rPr>
        <w:t>E. 10</w:t>
      </w:r>
    </w:p>
    <w:p>
      <w:r>
        <w:t>septembre 2019, 10 octobre 2019, 30 janvier 2020 et 2 mars 2020. Il n’y a toutefois concours rétrospectif que s’agissant des condamnations des 10 octobre 2019, 30 janvier 2020 et 2 mars 2020 à des peines privatives de liberté de respectivement 15 jours, 30 jours et 24 mois, les peines en cause étant de même genre. La présente peine n’est en revanche pas complémentaire à celle prononcée le 10 septembre 2019 par le Ministère public du canton du Valais, Office régional du Bas-Valais, à une peine pécuniaire de 60 jours-amende et à une amende de 1'000 fr., les sanctions n’étant pas de même genre. Le jugement de première instance sera rectifié d’office à cet égard, s’agissant d’une erreur manifeste. Compte tenu de la culpabilité de l’appelant telle qu’elle est décrite ci-dessus et du fait qu’il ne doit pas être puni plus sévèrement que s’il avait fait l’objet d’un seul jugement, la peine privative de liberté complémentaire de 90 jours prononcée par le premier juge dans le cadre de la présente procédure est adéquate et doit être confirmée.</w:t>
      </w:r>
    </w:p>
    <w:p>
      <w:r>
        <w:t>- 34 - 7. L’appelant conclut à ce que les frais de procédure soient laissés à la charge de l’Etat. Dès lors que cette conclusion repose sur la prémisse de l’admission de son appel, elle doit être rejetée. 8. En définitive, l’appel de D.________ doit être rejeté et le jugement entrepris intégralement confirmé. La liste des opérations produite par Me Michaël Aymon, défenseur d’office de D.________, fait état de 22 h 07 d’activité d’avocat au tarif horaire de 180 fr. et de débours à hauteur de 85 fr. 40, y compris la durée de l’audience d’appel estimée à 1 h 30, dont 8 h 12 consacrées à la rédaction de la déclaration d’appel et aux recherches jurisprudentielles y relatives, y compris la constitution d’un bordereau de pièces, 4 h 29 dévolues à la préparation des débats d’appel – dont 53 minutes consacrées à la rédaction de questionnaires à l’intention des témoins et de l’appelant – et 1 h 38 à un déplacement aller-retour pour l’audience d’appel. La durée annoncée est excessive. Il y a en particulier lieu de ramener à 5 heures le temps consacré à la rédaction de la déclaration d’appel et aux recherches jurisprudentielles y relatives, cette durée apparaissant suffisante au vu du mémoire déposé, étant précisé que le temps consacré à la constitution d’un bordereau de pièces, qui relève d’un travail de secrétariat, ne saurait être indemnisé au tarif horaire de l’activité d’avocat. Il en va de même du temps dévolu à la préparation de l’audience d’appel, qui doit être ramené à 3 h 30 dès lors que le défenseur avait déjà une parfaite connaissance du dossier et au vu du peu de questions posées aux témoins à l’occasion des débats. Par ailleurs, le temps de déplacement sera rétribué sous la forme d’un forfait pour vacation et les débours seront indemnisés sur une base forfaitaire, à concurrence de 2 % du montant des honoraires admis (art. 3bis RAJ [règlement sur l’assistance judiciaire en matière civile du 7 décembre 2010 ; BLV 211.02.3], par renvoi de l’art. 26b TFIP [tarif des frais de procédure et indemnités en matière pénale du 28 septembre 2010 ; BLV 312.03.1]), vacation et TVA en sus. Il y a enfin lieu de tenir compte</w:t>
      </w:r>
    </w:p>
    <w:p>
      <w:r>
        <w:t>- 35 - de la durée effective des débats d’appel et d’ajouter 10 minutes à ce titre. Ainsi, tout bien considéré, une indemnité de défenseur d'office d'un montant de 2'989 fr. 85, correspondant à une activité d’avocat de 14 h 28 au tarif horaire de 180 fr., par 2’604 fr., à des débours forfaitaires à hauteur de 2 % des honoraires admis, par 52 fr. 10, à une vacation à 120 fr. et à la TVA au taux de 7,7 %, par 213 fr. 75, sera allouée à Me Michaël Aymon. Vu l'issue de la cause, les frais de la procédure d'appel, par 5'999 fr. 85, constitués de l'émolument du présent jugement, par 3’010 fr. (art. 21 al. 1 et 2 TFIP), ainsi que de l’indemnité allouée à son défenseur d’office, par 2'989 fr. 85, seront mis à la charge de l’appelant, qui succombe (art. 428 al. 1 CPP). D.________ sera tenu de rembourser à l’Etat le montant de l’indemnité en faveur de son défenseur d’office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