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PE20.005876 vom 15. Mai 2020</w:t>
      </w:r>
    </w:p>
    <w:p>
      <w:r>
        <w:t>VD Tribunal cantonal, 2020-05-15, FR</w:t>
      </w:r>
    </w:p>
    <w:p>
      <w:r>
        <w:rPr>
          <w:b/>
        </w:rPr>
        <w:t xml:space="preserve">Quelle: </w:t>
      </w:r>
      <w:r>
        <w:t>https://mcp.opencaselaw.ch/entscheid/vd_gerichte_PE20.005876</w:t>
      </w:r>
    </w:p>
    <w:p>
      <w:r>
        <w:t>FR: VD_GERICHTE PE20.005876 du 15 mai 2020</w:t>
      </w:r>
    </w:p>
    <w:p>
      <w:r>
        <w:t>IT: VD_GERICHTE PE20.005876 del 15 maggio 2020</w:t>
      </w:r>
    </w:p>
    <w:p>
      <w:pPr>
        <w:pStyle w:val="Heading2"/>
      </w:pPr>
      <w:r>
        <w:t>Erwägungen</w:t>
      </w:r>
    </w:p>
    <w:p>
      <w:r>
        <w:rPr>
          <w:b/>
        </w:rPr>
        <w:t>E. 1</w:t>
      </w:r>
    </w:p>
    <w:p>
      <w:r>
        <w:t>Interjeté en temps utile (art. 310 al. 2 et 322 al. 2 CPP [Code de procédure pénale suisse du 5 octobre 2007 ; RS 312.0]), contre une ordonnance de non-entrée en matière rendue par le ministère public (art. 393 al. 1 let. a CPP), auprès de l’autorité compétente (art. 13 LVCPP [loi d’introduction du Code de procédure pénale suisse du 19 mai 2009 ; BLV 312.01] ; art. 80 LOJV [loi d'organisation judiciaire du 12 septembre 1979 ; BLV 173.01]), par la partie plaignante qui a qualité pour recourir (art. 382 al. 1 CPP) et dans les formes prescrites (art. 385 al. 1 CPP), le recours est recevable.</w:t>
      </w:r>
    </w:p>
    <w:p>
      <w:r>
        <w:rPr>
          <w:b/>
        </w:rPr>
        <w:t>E. 2.1</w:t>
      </w:r>
    </w:p>
    <w:p>
      <w:r>
        <w:t>Conformément à l'art. 310 al. 1 let. a CPP, le ministère public rend immédiatement – c'est-à-dire sans qu'une instruction soit ouverte – une ordonnance de non-entrée en matière lorsqu'il apparaît, à réception de la dénonciation (art. 301 ss CPP) ou de la plainte (Cornu, Jeanneret et al. [éd.], Commentaire romand, Code de procédure pénale suisse, 2e éd., Bâle 2019, nn. 1-2 ad art. 310 CPP) ou après une procédure préliminaire limitée aux investigations de la police (art. 300 al. 1 et 306 ss CPP), que les éléments constitutifs d'une infraction ou les conditions à l'ouverture de l'action pénale ne sont manifestement pas réunis (TF 6B_898/2017 du 8 mars 2018 consid. 3.1).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JdT 2012 IV 160). En revanche, le ministère public doit pouvoir rendre une ordonnance de non-entrée en matière dans les cas où il apparaît d’emblée qu’aucun acte d’enquête ne pourra apporter la preuve</w:t>
      </w:r>
    </w:p>
    <w:p>
      <w:r>
        <w:t>- 5 - d’une infraction à la charge d’une personne déterminée (TF 1B_67/2012 du 29 mai 2012 consid. 3.2).</w:t>
      </w:r>
    </w:p>
    <w:p>
      <w:r>
        <w:rPr>
          <w:b/>
        </w:rPr>
        <w:t>E. 2.2</w:t>
      </w:r>
    </w:p>
    <w:p>
      <w:r>
        <w:t>Avec raison, la recourante ne conteste pas le refus d’ouvrir une instruction pénale pour vol contre son mari. Si vol il y a eu, c’est un vol au préjudice d’un familier, qui ne se poursuit que sur plainte. Or, la plainte a été déposée le 20 mars 2020, alors que la recourante avait connaissance du prétendu vol au moins depuis le 7 novembre 2020, date de la lettre adressée par son conseil à I.________, soit plus de trois mois avant. Cette plainte est donc tardive. Dans son recours, la recourante plaide un éventuel abus de confiance commis par I.________. Ce grief est manifestement infondé. Selon la recourante elle-même, l’alliance a été remise par son mari à I.________ « en consignation ». Par référence probablement aux comptes de consignation en droit du bail, la Procureure a compris ce terme comme désignant un dépôt. La recourante ne conteste pas cette compréhension du terme, sur laquelle il n’y a dès lors pas lieu de revenir. Dans ces conditions, le contrat passé entre I.________ et P.________, de l’aveu même de la recourante, n’autorisait pas I.________ à remettre l’alliance à la recourante sur une simple lettre comminatoire de son conseil, à laquelle n’était annexée aucune preuve de l’accord du mari. L’état de fait décrit dans la plainte ne peut dès lors pas être constitutif d’abus de confiance. Par conséquent, c’est à bon droit que la Procureure a rendu une ordonnance de non-entrée en matière.</w:t>
      </w:r>
    </w:p>
    <w:p>
      <w:r>
        <w:rPr>
          <w:b/>
        </w:rPr>
        <w:t>E. 3</w:t>
      </w:r>
    </w:p>
    <w:p>
      <w:r>
        <w:t>Il résulte de ce qui précède que le recours doit être rejeté et l'ordonnance attaquée confirmée. Les frais de la procédure de recours, par 660 fr. (art. 20 al. 1 TFIP [Tarif des frais de procédure et indemnités en matière pénale du 28 septembre 2010 ; BLV 312.03.1]), seront mis à la charge de la recourante, qui succombe (art. 428 al. 1 CPP).</w:t>
      </w:r>
    </w:p>
    <w:p>
      <w:r>
        <w:t>- 6 - Le montant de 550 fr. déjà versé par la recourante à titre de sûretés est imputé sur les frais mis à sa charge. Par ces motifs, la Chambre des recours pénale prononce : I. Le recours est rejeté. II. L'ordonnance du 17 avril 2020 est confirmée. III. Les frais d'arrêt, par 660 fr. (six cent soixante francs), sont mis à la charge de K.________. IV. Le montant de 550 fr. (cinq cent cinquante francs) versé par K.________ à titre de sûretés est imputé sur les frais mis à sa charge au chiffre III ci-dessus. V. L’arrêt est exécutoire. Le président : La greffière : Du Le présent arrêt, dont la rédaction a été approuvée à huis clos, est notifié, par l'envoi d'une copie complète, à : - Me Claire-Lise Oswald, avocate (pour K.________), - Ministère public central,</w:t>
      </w:r>
    </w:p>
    <w:p>
      <w:r>
        <w:t>- 7 -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