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PE20.005618 vom 3. Mai 2021</w:t>
      </w:r>
    </w:p>
    <w:p>
      <w:r>
        <w:t>VD Tribunal cantonal, 2021-05-03, FR</w:t>
      </w:r>
    </w:p>
    <w:p>
      <w:r>
        <w:rPr>
          <w:b/>
        </w:rPr>
        <w:t xml:space="preserve">Quelle: </w:t>
      </w:r>
      <w:r>
        <w:t>https://mcp.opencaselaw.ch/entscheid/vd_gerichte_PE20.005618</w:t>
      </w:r>
    </w:p>
    <w:p>
      <w:r>
        <w:t>FR: VD_GERICHTE PE20.005618 du 3 mai 2021</w:t>
      </w:r>
    </w:p>
    <w:p>
      <w:r>
        <w:t>IT: VD_GERICHTE PE20.005618 del 3 maggio 2021</w:t>
      </w:r>
    </w:p>
    <w:p>
      <w:pPr>
        <w:pStyle w:val="Heading2"/>
      </w:pPr>
      <w:r>
        <w:t>Erwägungen</w:t>
      </w:r>
    </w:p>
    <w:p>
      <w:r>
        <w:rPr>
          <w:b/>
        </w:rPr>
        <w:t>E. 4.1</w:t>
      </w:r>
    </w:p>
    <w:p>
      <w:r>
        <w:t>L’appelant conteste la peine prononcée à son encontre qu’il estime excessive et soutient qu’il devrait être condamné à une peine privative de liberté de 12 mois, sous déduction de la détention avant jugement, pour infraction simple et contravention à la LStup et séjour illégal.</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- 16 -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6B_780/2018 du 9 octobre 2018 consid. 2.1).</w:t>
      </w:r>
    </w:p>
    <w:p>
      <w:r>
        <w:rPr>
          <w:b/>
        </w:rPr>
        <w:t>E. 4.2.2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TF 6B_291/2020 du 15 mai 2020 consid. 2.1),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6B_227/2020 du 29 avril 2020 consid. 2.1 ; TF</w:t>
      </w:r>
    </w:p>
    <w:p>
      <w:r>
        <w:t>- 17 - 6B_1192/2018 du 23 janvier 2019 consid. 1.1 ; TF 6B_780/2018 du</w:t>
      </w:r>
    </w:p>
    <w:p>
      <w:r>
        <w:rPr>
          <w:b/>
        </w:rPr>
        <w:t>E. 4.2.3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w:t>
      </w:r>
    </w:p>
    <w:p>
      <w:r>
        <w:t>- 18 -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TF 6B_144/2019 du 17 mai 2019 consid. 4.3.1).</w:t>
      </w:r>
    </w:p>
    <w:p>
      <w:r>
        <w:rPr>
          <w:b/>
        </w:rPr>
        <w:t>E. 4.3</w:t>
      </w:r>
    </w:p>
    <w:p>
      <w:r>
        <w:t>L’appelant a été condamné par le tribunal de première instance à une peine privative de liberté de 30 mois sanctionnant un trafic portant sur près de 90 grammes de cocaïne pure et qui comportait deux livraisons, de l’entreposage et des ventes. B.________ a exercé, à son échelle, un rôle dirigeant, mettant en œuvre des comparses et bénéficiant d’une grande expérience. Il ment sur ses antécédents et sur la langue qu’il parle (cf. PV aud. 5 notamment). Il s’agit de sa dixième condamnation depuis mars 2014. Sa prise de conscience est nulle. Une partie des ventes est postérieure à la condamnation de décembre 2019, mais l’essentiel du trafic est antérieur. Si en 2019 le procureur avait dû condamner le prévenu pour ce pan des faits, il aurait infligé pour le tout une peine de 3 ans, ce qui fixe la peine complémentaire à 30 mois, avant même qu’il soit tenu compte des faits postérieurs et du séjour illégal. Par conséquent, la quotité de la peine privative de liberté arrêtée à 30 mois par les premiers juges, sous déduction de 97 jours de</w:t>
      </w:r>
    </w:p>
    <w:p>
      <w:r>
        <w:t>- 19 - détention subie avant jugement, peine partiellement complémentaire à celle infligée le 12 décembre 2019 par le Ministère public de l’arrondissement de Lausanne, n’est pas excessive et doit être confirmée. Il sied également de confirmer l’amende de 500 francs pour la contravention commise.</w:t>
      </w:r>
    </w:p>
    <w:p>
      <w:r>
        <w:rPr>
          <w:b/>
        </w:rPr>
        <w:t>E. 4.4</w:t>
      </w:r>
    </w:p>
    <w:p>
      <w:r>
        <w:t>Conformément à l’art. 51 CP, la détention subie avant jugement sera déduite de la peine privative de liberté prononcée. Compte tenu du risque de fuite présenté par l’intéressé, le maintien de l’appelant en détention pour des motifs de sûreté, lorsqu’il aura satisfait aux exigences de l’OEP quant aux peines exécutoires qu’il est en train de subir à ce jour, doit être ordonné pour garantir l’exécution de la peine prononcée. 5. Pour les motifs pertinents retenus par les premiers juges, il y a lieu de confirmer l’expulsion de B.________ du territoire suisse pour une durée de 15 ans, cette mesure n’étant d’ailleurs pas contestée. 6. En définitive, l’appel doit être rejeté et le jugement entrepris confirmé. Me Pierre-Yves Court, défenseur d’office de B.________, a produit une liste d’opérations à l’audience d’appel, faisant état d’une durée de travail de 4 heures et 41 minutes de travail (P. 69), à laquelle il convient d’ajouter le temps d’audience d’une heure. C’est ainsi un mandat de 5 heures et 41 minutes qui doit être admis au tarif horaire de 180 fr., soit des honoraires par 1’023 fr., montant auquel il convient d’ajouter une vacation, par 120 fr., des débours forfaitaires à 2 %, par 20 fr. 46, et la TVA sur le tout, par 89 fr. 60, soit un total de 1'253 fr. 06. Vu l’issue de la cause, les frais de la procédure d’appel, comprenant l'émolument de jugement et d’audience, par 1’940 fr. (art. 21 al. 1 et 2 TFIP), ainsi que l’indemnité allouée au défenseur d’office, par</w:t>
      </w:r>
    </w:p>
    <w:p>
      <w:r>
        <w:t>- 20 - 1'253 fr. 06, soit au total 3'193 fr. 05, seront mis à la charge du prévenu, qui succombe (art. 428 al. 1 CPP). B.________ ne sera tenu de rembourser à l’Etat le montant de l’indemnité en faveur de son défenseur d’office que lorsque sa situation financière le permettra. 7. Par inadvertance, le dispositif notifié aux parties par la Cour de céans ne mentionne pas, dans la liste des dispositions appliquées, l’art. 115 al. 1 let. b LEI (loi fédérale sur les étrangers et l’intégration ; RS 142.20 ; séjour illégal), qui s’applique en l’espèce. Il sera donc rectifié d’office (art. 83 al. 1 CPP).</w:t>
      </w:r>
    </w:p>
    <w:p>
      <w:r>
        <w:rPr>
          <w:b/>
        </w:rPr>
        <w:t>E. 9</w:t>
      </w:r>
    </w:p>
    <w:p>
      <w:r>
        <w:t>octobre 2018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