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PE20.005443 vom 6. Oktober 2020</w:t>
      </w:r>
    </w:p>
    <w:p>
      <w:r>
        <w:t>VD Tribunal cantonal, 2020-10-06, FR</w:t>
      </w:r>
    </w:p>
    <w:p>
      <w:r>
        <w:rPr>
          <w:b/>
        </w:rPr>
        <w:t xml:space="preserve">Quelle: </w:t>
      </w:r>
      <w:r>
        <w:t>https://mcp.opencaselaw.ch/entscheid/vd_gerichte_PE20.005443</w:t>
      </w:r>
    </w:p>
    <w:p>
      <w:r>
        <w:t>FR: VD_GERICHTE PE20.005443 du 6 octobre 2020</w:t>
      </w:r>
    </w:p>
    <w:p>
      <w:r>
        <w:t>IT: VD_GERICHTE PE20.005443 del 6 ottobre 2020</w:t>
      </w:r>
    </w:p>
    <w:p>
      <w:pPr>
        <w:pStyle w:val="Heading2"/>
      </w:pPr>
      <w:r>
        <w:t>Erwägungen</w:t>
      </w:r>
    </w:p>
    <w:p>
      <w:r>
        <w:rPr>
          <w:b/>
        </w:rPr>
        <w:t>E. 3.1</w:t>
      </w:r>
    </w:p>
    <w:p>
      <w:r>
        <w:t>Le recourant conteste l’existence d’un risque de réitération justifiant sa mise en détention provisoire, reprochant à l’autorité précédente d’avoir approché sa situation sous l’angle exclusivement sécuritaire, sans tenir compte du temps écoulé depuis les faits fondant de nouveaux soupçons à son encontre, de la gravité objective de ces faits ou du bénéfice retiré du cadre en place depuis le 11 mai 2020. Il soutient que les faits qui lui sont reprochés datent de plusieurs mois et remontent à une période de son existence marquée par l’oisiveté, l’influence néfaste de son entourage et un manque de bénéfices concrets des suivis alors fraîchement mis en place. Il soutient avoir depuis lors changé de voie, l’absence de tout écart de conduite de sa part</w:t>
      </w:r>
    </w:p>
    <w:p>
      <w:r>
        <w:t>- 10 - démontrant selon lui qu’il se serait depuis lors montré digne de la confiance placée en lui, tant à l’égard des divers intervenants mis en œuvre que des autorités pénales. Il aurait eu l’occasion de démontrer ses compétences et sa motivation au cours de plusieurs stages professionnels, lui ouvrant l’accès à une place d’apprentissage. Admettant s’être comporté de manière inadéquate et irrespectueuse lors de son audition du 18 septembre 2020 par le Ministère public, le recourant invoque avoir réagi de manière émotionnelle face à la perspective de perdre le cadre construit au cours des mois précédents. Ce cadre, dont l‘autorité inférieure n’aurait à tort pas tenu compte, conditionnerait le pronostic du risque de réitération, le réduisant très significativement voire l’annulant, mais excluant dans tous les cas un pronostic particulièrement défavorable. Le recourant fait valoir qu’une incarcération conduirait à la perte des bénéfices obtenus au travers des mesures d’accompagnement mises en place, notamment par l’interruption abrupte des suivis thérapeutique, addictologique et social, ainsi que de son contrat d’apprentissage. Son intérêt au maintien de ces éléments l’emporterait selon lui sur l’intérêt public à sa mise en détention, en particulier à la lumière des biens juridiques touchés par ses actions. Il invoque sur ce point que les faits dont il est nouvellement soupçonné concernent uniquement des biens matériels de faible valeur, dérobés ou endommagés sans violence à l’encontre de personnes physiques. Il conteste que la gravité objective de telles infractions permette une mise en détention provisoire au titre d’un risque de réitération. Selon le recourant, sa mise en détention serait dans ces conditions disproportionnée.</w:t>
      </w:r>
    </w:p>
    <w:p>
      <w:r>
        <w:rPr>
          <w:b/>
        </w:rPr>
        <w:t>E. 3.2</w:t>
      </w:r>
    </w:p>
    <w:p>
      <w:r>
        <w:t>L'art. 221 al. 1 let. c CPP pose trois conditions pour admettre un risque de réitération.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w:t>
      </w:r>
    </w:p>
    <w:p>
      <w:r>
        <w:t>- 11 -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TF 1B_3/2019 du 17 janvier 2019 consid. 3.1 et les réf. cit.).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1B_3/2019 du 17 janvier 2019 consid. 3.1). S’agissant plus spécifiquement des infractions contre le patrimoine, la jurisprudence récente du Tribunal fédéral délimite strictement les conditions pour détenir provisoirement un prévenu en raison de l’existence d’un risque de réitération (ATF 146 IV 136 consid.</w:t>
      </w:r>
    </w:p>
    <w:p>
      <w:r>
        <w:t>- 12 - 2.3; TF 1B_43/2020 du 14 février 2020 consid. 2 ; TF 1B_112/2020 du 20 mars 2020 consid. 3 ; TF 1B_595/2019 du 10 janvier 2020, RSJ 7/2020 pp. 248 s.).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146 IV 136 consid. 2.2 et réf. cit. ; ATF 143 IV 9 consid. 2.7; cf. aussi CREP 16 juillet 2020/553 consid. 3.2.1 et réf. cit.). Tel est le cas des infractions de vol par métier ou en bande lorsque de nombreux cas sont en jeu, ou de vols par effraction vu le risque de dérapage violent pouvant survenir lors de confrontation avec les victimes, notamment lorsque le voleur cherche à se procurer de la drogue (TF 1B_32/2017 du 4 mai 2017 consid. 3.3.5 et réf. cit. ; CREP 21 janvier 2020/29 ; CREP 1er mai 2018/316).</w:t>
      </w:r>
    </w:p>
    <w:p>
      <w:r>
        <w:rPr>
          <w:b/>
        </w:rPr>
        <w:t>E. 3.3</w:t>
      </w:r>
    </w:p>
    <w:p>
      <w:r>
        <w:t>En l’occurrence, le recourant a des antécédents portant sur des infractions du même genre que celles dont il est nouvellement soupçonné. Il a ainsi été condamné le 19 mai 2016 pour vol, dommages à la propriété et violation de domicile intentionnel, puis le 15 juin 2020 pour quatre cas de tentative de vol, neuf cas de vol, dommages à la propriété, empêchement d’accomplir un acte officiel, violation simple des règles de la circulation routière, vol d’usage d’un véhicule automobile, cinq cas de vol d’usage d’un véhicule automobile en tant que passager, utilisation sans droit d’un cycle, conduite d’un véhicule automobile sans être titulaire du permis de conduire requis ainsi que pour infraction et contravention à la LStup. Surtout, il est fortement soupçonné d’avoir commis deux brigandages qualifiés, les 23 et 28 mars 2020, impliquant l’usage d’une arme et l’intervention de comparses ; ces soupçons portent sur des infractions figurant parmi les plus graves que la loi réprime et ont d’ailleurs suffi pour justifier sa mise en détention provisoire selon l’ordonnance du Tribunal des mesures de contrainte du 8 avril 2020. La première condition de l’art. 221 al. 1 let. c CPP est ainsi réalisée.</w:t>
      </w:r>
    </w:p>
    <w:p>
      <w:r>
        <w:t>- 13 - C’est également à tort que le recourant soutient que les infractions dont il est nouvellement soupçonné n’atteignent pas un degré de gravité suffisant pour justifier sa mise en détention provisoire. En effet, à l’instar des cas de brigandage qualifié, violence et menaces à l’encontre des autorités et fonctionnaires, ainsi que des infractions à la législation routière, les vols par effraction peuvent atteindre le seuil de gravité requis par la jurisprudence, car ils supposent des répercussions plus graves que la seule perturbation de la vie quotidienne des victimes, d’une part, et peuvent dégénérer sur le plan de la violence au cas où les voleurs seraient surpris, d’autre part. Quoi qu’il en soit, ce n’est en l’occurrence pas la gravité des nouveaux actes commis par le recourant qui conduit à poser un pronostic défavorable mais l’absence de prise de conscience, la facilité du passage à l’acte et la persistance de ses contacts avec les comparses ayant pris part à ses activités délictueuses. Les graves soupçons pesant nouvellement sur le recourant portent en outre sur des faits intervenus entre le 13 juin et le 7 juillet 2020, alors que l’intéressé faisait l’objet de mesures de substitution depuis plusieurs mois et suivait des stages en vue de la signature d’un contrat d’apprentissage, qui est intervenue le 24 juillet 2020, et alors que le Président du Tribunal des mineurs venait de le condamner à une peine privative de liberté ferme le 15 juin 2020 en raison d’une longue série de délits, la plupart commis notamment avec [...]. Le recourant savait que toute nouvelle infraction serait susceptible d’entraîner la révocation des mesures de substitution, mais cela ne l’a pas empêché d’adopter à nouveau des comportements délictueux. Certes, le fait qu’il se soit conformé aux mesures de substitution et qu’il ait débuté un apprentissage est de nature à réduire le risque de réitération, mais ce cadre est à l’évidence insuffisant, le recourant n’ayant manifestement pas du tout pris conscience de la gravité de ses actes ni interrompu ses contacts avec ses comparses, en particulier s’agissant d’[...]. Or, il ressort des déclarations de l’éducateur au Tribunal des mineurs [...], qui avait été mandaté le 15 septembre 2015 dans le cadre d’une précédente enquête et dont le mandat a été réactivé au mois de juillet 2019, que ce sont notamment les fréquentations du recourant qui sont "problématiques", ce que l’intéressé</w:t>
      </w:r>
    </w:p>
    <w:p>
      <w:r>
        <w:t>- 14 - a d’ailleurs concédé sans toutefois pouvoir y mettre fin malgré ses promesses à cet égard. C’est dans ces conditions à tort que le recourant soutient avoir changé de voie. Il ressort en outre du rapport final établi le 22 décembre 2019 à l’issue de son placement du 7 août au 17 décembre 2019 au Centre de préapprentissage de l’Institut [...], que l’intéressé fait preuve d’impulsivité et de violence voire de possibles troubles du comportement renforcés par une consommation abusive de drogues. Les traits de caractère et la consommation de stupéfiants du recourant sont également des facteurs négatifs et il faut constater que le cadre mis en place, pourtant strict, n’a pas réussi à améliorer le pronostic négatif qui avait été posé dans l’ordonnance du 8 avril 2020. Ainsi, en conclusion, il faut constater que le pronostic alors posé demeure d’actualité, le recourant n’ayant pas hésité à commettre de nouveaux acte délictueux alors qu’il bénéficiait de mesures de substitution censées juguler le risque de récidive qu’il présentait et alors qu’il venait d’être condamné à une peine privative de liberté ferme. S’il est vrai que ces actes sont moins graves que les deux brigandages qualifiés auxquels le recourant a participé en mars 2020, et au cours desquels les victimes ont été menacées par des couteaux, respectivement assaillies de coups de poing et de pied, il n’en demeure pas moins qu’ils dénotent d’un ancrage dans la délinquance auquel les nombreuses mesures d’assistance personnelle mises en places par le Tribunal des mineurs, puis les mesures de substitution, ne sont pas parvenues à mettre fin. Les conditions de l’art. 221 al. 1 let. c CPP sont ainsi toutes réalisées. On ne voit finalement pas quelle mesure moins incisive serait susceptible de mettre fin à la série de délits dont le recourant s’est très régulièrement rendu coupable en dépit des diverses mesures d’assistance et des multiples propositions et injonctions dont il a fait l’objet. En particulier, la mesure de substitution proposé à titre subsidiaire tendant à ce que tout contact entre le recourant et [...] soit interdit, n’est pas suffisante au regard des biens en jeu que sont l’intégrité et la sécurité d’autrui, le respect de cette condition dépendant de toute manière du bon</w:t>
      </w:r>
    </w:p>
    <w:p>
      <w:r>
        <w:t>- 15 - vouloir des intéressés. La détention provisoire est proportionnée au regard de la durée de la peine prévisible à laquelle le recourant s’expose (art. 221 al. 3 CPP), le brigandage étant réprimé d’une peine privative de liberté d’un an au moins sous sa forme qualifiée (cf. art. 140 ch. 2 CP).</w:t>
      </w:r>
    </w:p>
    <w:p>
      <w:r>
        <w:rPr>
          <w:b/>
        </w:rPr>
        <w:t>E. 4</w:t>
      </w:r>
    </w:p>
    <w:p>
      <w:r>
        <w:t>Il s’ensuit que le recours doit être rejeté et que l’ordonnance querellée doit être confirmée. Les frais de la procédure de recours, constitués de l’émolument d’arrêt, par 1'540 fr. (art. 20 al. 1 TFIP [tarif des frais de procédure et indemnités en matière pénale du 28 septembre 2010; BLV 312.03.1]), ainsi que des frais imputables à la défense d’office dans le cadre du recours (art. 422 al. 1 et 2 let. a CPP), comprenant des honoraires par 540 fr. (3 h. au tarif horaire de 180 fr.), des débours forfaitaires par 10 fr. 80 (art. 26b TFIP cum art. 3bis RAJ [règlement sur l’assistance judiciaire en matière civile du 7 décembre 2010 ; BLV 211.02.3]) et de la TVA (7,7%) par 42 fr. 40, soit 593 fr. 20 au total, arrondis à 593 fr., seront mis à la charge du recourant (art. 428 al. 1 CPP). Le remboursement à l’Etat de l’indemnité du défenseur d’office ne sera exigible que pour autant que la situation financière du recourant le permette (cf. art. 135 al. 4 CPP). Par ces motifs, la Chambre des recours pénale prononce : I. Le recours est rejeté. II. L’ordonnance du 20 septembre 2020 est confirmée. III. Il est alloué à Me Cvetislav Todic une indemnité de défenseur d’office de 593 fr. (cinq cent nonante-trois francs), débours et TVA inclus. IV. Les frais d’arrêt, par 1'540 fr. (mille cinq cent quarante francs), ainsi que l’indemnité de 593 fr. (cinq cent nonante-trois francs)</w:t>
      </w:r>
    </w:p>
    <w:p>
      <w:r>
        <w:t>- 16 - allouée à Me Cvetislav Todic, sont mis à la charge de D.________. V. Le remboursement à l’Etat de l’indemnité allouée au chiffre III ci-dessus ne sera exigible que pour autant que la situation financière de D.________ le permette. VI. L’arrêt est exécutoire. Le président : Le greffier : Du Le présent arrêt, dont la rédaction a été approuvée à huis clos, est notifié, par l'envoi d'une copie complète, à : - Me Cvetislav Todic, avocat (pour D.________), - Ministère public central, et communiqué à : - Mme la Présidente du Tribunal des mesures de contrainte, - Mme la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- 17 -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