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PE20.005426 vom 1. September 2023</w:t>
      </w:r>
    </w:p>
    <w:p>
      <w:r>
        <w:t>VD Tribunal cantonal, 2023-09-01, FR</w:t>
      </w:r>
    </w:p>
    <w:p>
      <w:r>
        <w:rPr>
          <w:b/>
        </w:rPr>
        <w:t xml:space="preserve">Quelle: </w:t>
      </w:r>
      <w:r>
        <w:t>https://mcp.opencaselaw.ch/entscheid/vd_gerichte_PE20.005426</w:t>
      </w:r>
    </w:p>
    <w:p>
      <w:r>
        <w:t>FR: VD_GERICHTE PE20.005426 du 1 septembre 2023</w:t>
      </w:r>
    </w:p>
    <w:p>
      <w:r>
        <w:t>IT: VD_GERICHTE PE20.005426 del 1 settembre 2023</w:t>
      </w:r>
    </w:p>
    <w:p>
      <w:pPr>
        <w:pStyle w:val="Heading2"/>
      </w:pPr>
      <w:r>
        <w:t>Erwägungen</w:t>
      </w:r>
    </w:p>
    <w:p>
      <w:r>
        <w:rPr>
          <w:b/>
        </w:rPr>
        <w:t>E. 5.1</w:t>
      </w:r>
    </w:p>
    <w:p>
      <w:r>
        <w:t>L’appelant reproche aux premiers juges d’avoir violé son droit d’être entendu en refusant de renvoyer les débats, afin de permettre les auditions de G.________, W.________ et L.________.</w:t>
      </w:r>
    </w:p>
    <w:p>
      <w:r>
        <w:rPr>
          <w:b/>
        </w:rPr>
        <w:t>E. 5.2</w:t>
      </w:r>
    </w:p>
    <w:p>
      <w:r>
        <w:t>Tel que garanti par l'art. 29 al. 2 Cst., le droit d'être entendu comprend, notamment, le droit pour l'intéressé de prendre connaissance</w:t>
      </w:r>
    </w:p>
    <w:p>
      <w:r>
        <w:t>- 34 -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JdT 2010 I 720 ; ATF 132 Il 485 consid. 3.2 ;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et les références citées, JdT 2009 I 303). En procédure pénale, l'administration des preuves par l'autorité de jugement de première instance est réglée par l'art. 343 CPP. Selon cette disposition, le tribunal procède à l'administration de nouvelles preuves ou complète les preuves administrées de manière insuffisante (al. 1). Il réitère l'administration des preuves qui, lors de la procédure préliminaire, n'ont pas été administrées en bonne et due forme (al. 2) ou l'administration des preuves qui, lors de la procédure préliminaire, ont été administrées en bonne et due forme lorsque la connaissance directe du moyen de preuve apparaît nécessaire au prononcé du jugement (al. 3). L'art. 139 al. 2 CPP, applicable de manière générale à toutes les autorités pénales, prévoit quant à lui qu'il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w:t>
      </w:r>
    </w:p>
    <w:p>
      <w:r>
        <w:t>- 35 - procédé, est entachée d'arbitraire (ATF 141 I 60 consid. 3.3 p. 64 et les références citées).</w:t>
      </w:r>
    </w:p>
    <w:p>
      <w:r>
        <w:rPr>
          <w:b/>
        </w:rPr>
        <w:t>E. 5.3</w:t>
      </w:r>
    </w:p>
    <w:p>
      <w:r>
        <w:t>En l’espèce, lors de l’audience de première instance, la requête tendant à l’audition de G.________ et W.________ a fait l’objet d’une réquisition d’entrée de cause de l’appelant, rejetée par les premiers juges aux motifs que les deux plaignants précités avaient déjà été entendus en contradictoire durant l’enquête et que la suspension de la cause entraînerait un retard considérable, violant le principe de célérité. Cette décision ne prête pas le flanc à la critique (cf. jgmt pp. 14-16). En effet, comme relevé par les premiers juges et la Cour de céans (cf. supra consid. 3.3), l’appelant a eu tout loisir de poser des questions aux deux plaignants lors de l’audition de ceux-ci par le Ministère public. Ces auditions ont été administrées en bonne et due forme, de manière suffisante et la connaissance directe du moyen de preuve n’était pas nécessaire au prononcé du jugement. On ne décèle dès lors aucun arbitraire dans le refus des premiers juges de répéter l’administration de cette preuve. Infondé, ce grief doit donc être rejeté. La requête tendant à l’audition d’L.________ a fait l’objet d’une réquisition distincte, également rejetée par les premiers juges (cf. jgmt pp. 40-41). Ceux-ci ont relevé que le plaignant n’avait été entendu qu’une seule fois par la police, de telle sorte que l’administration de la preuve devait être répétée, mais que cela impliqueait la violation du principe de célérité et des frais trop importants au regard des informations relativement mineures qu’il était susceptible d’apporter. Cette appréciation anticipée des moyens de preuve n’apparaît pas arbitraire en ce qui concerne les coups qui sont reprochés à l’appelant, dès lors que d’autres autres mises en cause et un certificat médical figurent au dossier (cf. supra consid. 4.3.3). Il n’en va pas de même de la tentative de contrainte reprochée à l’appelant et qui repose uniquement sur les déclarations du plaignant. Toutefois, la Cour de céans ayant libéré l’appelant de l’infraction de tentative de contrainte (cf. supra consid. 4.7.3), le grief est désormais sans objet.</w:t>
      </w:r>
    </w:p>
    <w:p>
      <w:r>
        <w:t>- 36 -</w:t>
      </w:r>
    </w:p>
    <w:p>
      <w:r>
        <w:rPr>
          <w:b/>
        </w:rPr>
        <w:t>E. 6.1</w:t>
      </w:r>
    </w:p>
    <w:p>
      <w:r>
        <w:t>L’appelant étant libéré de l’infraction de tentative de contrainte, il y a lieu de revoir la peine.</w:t>
      </w:r>
    </w:p>
    <w:p>
      <w:r>
        <w:rPr>
          <w:b/>
        </w:rPr>
        <w:t>E. 6.1.1</w:t>
      </w:r>
    </w:p>
    <w:p>
      <w:r>
        <w:t>et les références citées ; TF 6B_183/2021 du 27 octobre 2021 consid. 1.3).</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w:t>
      </w:r>
    </w:p>
    <w:p>
      <w:r>
        <w:t>- 37 - consid. 1.2 ; ATF 127 IV 101 consid. 2b ; TF 6B_434/2021 du 7 avril 2022 consid. 3.3).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w:t>
      </w:r>
    </w:p>
    <w:p>
      <w:r>
        <w:rPr>
          <w:b/>
        </w:rPr>
        <w:t>E. 6.2.3</w:t>
      </w:r>
    </w:p>
    <w:p>
      <w:r>
        <w:t>A teneur de l'art. 42 al. 1 CP, le juge suspend en règle générale l'exécution d'une peine pécuniaire ou d'une peine privative de liberté de deux ans au plus lorsqu'une peine ferme ne paraît pas nécessaire pour détourner l'auteur d'autres crimes ou délits.</w:t>
      </w:r>
    </w:p>
    <w:p>
      <w:r>
        <w:t>- 38 -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précité).</w:t>
      </w:r>
    </w:p>
    <w:p>
      <w:r>
        <w:rPr>
          <w:b/>
        </w:rPr>
        <w:t>E. 6.3</w:t>
      </w:r>
    </w:p>
    <w:p>
      <w:r>
        <w:t>En l’espèce, c’est à juste titre que les premiers juges ont considéré que la responsabilité de F.________ était lourde. En effet, F.________ s’est associé à la volonté de vengeance de ses compatriotes, alors qu’il n’avait pas été lui-même touché par le spray au poivre utilisé par G.________ et a participé à leur expédition punitive consistant à forcer l’entrée du domicile du plaignant, où celui-ci s’était réfugié, et à l’en extraire de force, avant de le frapper avec une violence extrême, notamment à la tête. L’appelant s’en est également pris sans scrupules à une personne qui sortait du domicile de la victime pour lui porter secours. A aucun moment, l’appelant n’a semblé prendre conscience de la gravité de ses agissements, celui-ci n'ayant eu de cesse de minimiser son implication. A décharge, on ne relève ainsi que l’écoulement du temps, les</w:t>
      </w:r>
    </w:p>
    <w:p>
      <w:r>
        <w:t>- 39 - faits étant relativement anciens, tandis qu’à charge, il y a lieu de prendre en compte le concours d’infractions. Selon les principes du concours, il convient de définir l’infraction la plus grave qui est l’agression. Elle doit être sanctionnée d’une peine privative de liberté de neuf mois, augmentée de trois mois pour les lésions corporelles simples, d’un mois pour la complicité de dommages à la propriété et d’un mois pour la violation de domicile, soit une peine privative de liberté totale de 14 mois. Le casier de l’appelant étant vierge, c’est à juste titre que les premiers juges lui ont accordé le sursis.</w:t>
      </w:r>
    </w:p>
    <w:p>
      <w:r>
        <w:rPr>
          <w:b/>
        </w:rPr>
        <w:t>E. 7.1</w:t>
      </w:r>
    </w:p>
    <w:p>
      <w:r>
        <w:t>Partant de la prémisse qu’il serait libéré de l’infraction d’agression, l’appelant conteste l’expulsion d’une durée de cinq ans prononcée à son encontre.</w:t>
      </w:r>
    </w:p>
    <w:p>
      <w:r>
        <w:rPr>
          <w:b/>
        </w:rPr>
        <w:t>E. 7.2</w:t>
      </w:r>
    </w:p>
    <w:p>
      <w:r>
        <w:t>Selon l’art. 66a CP, l’expulsion du territoire suisse pour une durée de cinq à quinze ans doit être ordonnée à l’égard de l'étranger qui est condamné pour l'une des infractions énumérées aux lettres a à p de cette disposition, quelle que soit la quotité de la peine prononcée à son encontre. Tel est, en particulier, le cas de l’agression (art. 66a al. 1 let. b CP). L’art. 66a al. 2 CP dispose que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est formulé comme une norme potestative (Kannvorschrift), en ce sens que le juge n'a pas l'obligation de renoncer à</w:t>
      </w:r>
    </w:p>
    <w:p>
      <w:r>
        <w:t>- 40 -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(ATF 144 IV 332 consid. 3.3 ; TF 6B_124/2020 du 1er mai 2020 consid. 3.2.1 ; TF 6B_1329/2018 du 14 février 2019 consid. 2.2). Le juge doit fixer la durée de l'expulsion dans la fourchette prévue de cinq à quinze ans, en tenant compte du principe de la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in Dupont/Kuhn [édit.], Droit pénal - Evolutions en 2018, Neuchâtel 2017, p. 149).</w:t>
      </w:r>
    </w:p>
    <w:p>
      <w:r>
        <w:rPr>
          <w:b/>
        </w:rPr>
        <w:t>E. 7.3</w:t>
      </w:r>
    </w:p>
    <w:p>
      <w:r>
        <w:t>En l’espèce, l’appelant a commis une infraction imposant le prononcé d’une expulsion obligatoire au sens de l’art. 66a CP et ne fait pas valoir que cette mesure le mettrait dans une situation personnelle grave. C’est donc à juste titre que les premiers juges ont ordonné l’expulsion pour la durée minimale de cinq ans.</w:t>
      </w:r>
    </w:p>
    <w:p>
      <w:r>
        <w:rPr>
          <w:b/>
        </w:rPr>
        <w:t>E. 8</w:t>
      </w:r>
    </w:p>
    <w:p>
      <w:r>
        <w:t>Partant toujours de la prémisse qu’il serait acquitté, l’appelant requiert que les prétentions civiles des parties plaignantes soient rejetées. L’appelant n’ayant pas été libéré des infractions d’agression et de complicité de dommages à la propriété pour lesquelles des prétentions civiles ont été chiffrées, c’est à juste titre que les premiers juges l’ont</w:t>
      </w:r>
    </w:p>
    <w:p>
      <w:r>
        <w:t>- 41 - condamné à verser, solidairement avec ses acolytes, une indemnité pour tort moral à G.________ et une indemnisation à C.________ pour les dommages causés au logement dont elle est propriétaire.</w:t>
      </w:r>
    </w:p>
    <w:p>
      <w:r>
        <w:rPr>
          <w:b/>
        </w:rPr>
        <w:t>E. 9</w:t>
      </w:r>
    </w:p>
    <w:p>
      <w:r>
        <w:t>L’appelant ayant été libéré du chef d’accusation de tentative de contrainte, il convient de le libérer du paiement d’une partie des frais de première instance correspondant à un dixième du montant mis à sa charge. Dès lors que les frais comprennent également les indemnités des défenseurs et conseils d’office, l’appelant sera libéré du paiement d’une partie de celles-ci dans la même proportion.</w:t>
      </w:r>
    </w:p>
    <w:p>
      <w:r>
        <w:rPr>
          <w:b/>
        </w:rPr>
        <w:t>E. 10</w:t>
      </w:r>
    </w:p>
    <w:p>
      <w:r>
        <w:t>En définitive, l’appel de F.________ doit être très partiellement admis et le jugement entrepris modifié dans le sens des considérants. Vu le sort de la cause, les frais de la procédure d’appel, constitués de l’émolument d’audience, par 700 fr., et de jugement, par 3'410 fr., soit 4'110 fr. au total (art. 21 al. 1 et 2 TFIP [tarif des frais de procédure et indemnités en matière pénale du 28 septembre 2010 ; BLV 312.03.1]), seront mis par neuf dixièmes à la charge de F.________ qui succombe en grande partie (art. 428 al. 1 CPP). Outre l’émolument, les frais d’appel comprennent également l’indemnité allouée aux défenseur et conseil d’office (art. 422 al. 2 let. a CPP). Il n’y a pas lieu de s’écarter de la liste des opérations produite par Me Julien Perrin, défenseur d’office. Il s’agit dès lors d’indemniser 5 heures et 45 minutes au tarif horaire de 180 fr., soit 1’035 fr., montant auquel il convient d’ajouter des débours forfaitaires à concurrence de 2 %, soit 76 fr. 80 (art. 3bis al. 1 RAJ [règlement du 7 décembre 2010 sur l'assistance judiciaire en matière civile ; BLV 211.02.3], applicable par renvoi de l’art. 26b TFIP), ainsi que la TVA à 7,7 %, par 304 fr. 60, soit un total de 4’218 fr. 40 pour les opérations effectuées jusqu’au 31 décembre</w:t>
      </w:r>
    </w:p>
    <w:p>
      <w:r>
        <w:t>- 42 - 2023. S’agissant des opérations ayant eu lieu dès le 1er janvier 2024, il y a lieu d’indemniser 5 heures et 12 minutes de travail d’avocat au tarif horaire de 180 fr., soit 936 fr., et 2 heures et 42 minutes de travail d’avocat-stagiaire au tarif horaire de 110 fr., soit 297 fr., plus les débours, par 24 fr. 65, une vacation à 120 fr., et la TVA à 8,1 %, par 111 fr. 60, soit un total de 1’489 fr. 25. L’indemnité totale allouée à Me Julien Perrin s’élèvera ainsi à 5’707 fr. 65, TVA et débours inclus. La note d’honoraires produite par Me Sébastien Pedroli, conseil d’office, ne prête pas le flanc à la critique, si ce n’est que les débours seront alloués de manière forfaitaire, qu’une vacation sera ajoutée et que la durée de l’audience estimée sera ajustée à sa durée effective. Il y a lieu ainsi d’indemniser 1 heure et 25 minutes au tarif horaire de 180 fr., soit 255 fr., montant auquel il convient d’ajouter des débours forfaitaires à concurrence de 2 %, soit 5 fr. 10, ainsi que la TVA à 7,7 %, par 20 fr. 90, soit un total de 281 fr., pour les opérations effectuées jusqu’au 31 décembre 2023. S’agissant des opérations ayant eu lieu dès le 1er janvier 2024, il y a lieu d’indemniser 5 heures et 25 minutes de travail d’avocat au tarif horaire de 180 fr., soit 975 fr., plus les débours, par 19 fr. 50, une vacation à 120 fr., et la TVA à 8,1 %, par 90 fr. 50, soit un total de 1'205 fr. L’indemnité totale allouée à Me Sébastien Pedroli s’élèvera ainsi à 1'486 fr., TVA et débours inclus. F.________ sera tenu de rembourser à l’Etat les neuf dixièmes des indemnités de son défenseur d’office et du conseil juridique gratuit,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