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PE20.004892 vom 7. Juli 2020</w:t>
      </w:r>
    </w:p>
    <w:p>
      <w:r>
        <w:t>VD Tribunal cantonal, 2020-07-07, FR</w:t>
      </w:r>
    </w:p>
    <w:p>
      <w:r>
        <w:rPr>
          <w:b/>
        </w:rPr>
        <w:t xml:space="preserve">Quelle: </w:t>
      </w:r>
      <w:r>
        <w:t>https://mcp.opencaselaw.ch/entscheid/vd_gerichte_PE20.004892</w:t>
      </w:r>
    </w:p>
    <w:p>
      <w:r>
        <w:t>FR: VD_GERICHTE PE20.004892 du 7 juillet 2020</w:t>
      </w:r>
    </w:p>
    <w:p>
      <w:r>
        <w:t>IT: VD_GERICHTE PE20.004892 del 7 luglio 2020</w:t>
      </w:r>
    </w:p>
    <w:p>
      <w:pPr>
        <w:pStyle w:val="Heading2"/>
      </w:pPr>
      <w:r>
        <w:t>Erwägungen</w:t>
      </w:r>
    </w:p>
    <w:p>
      <w:r>
        <w:rPr>
          <w:b/>
        </w:rPr>
        <w:t>E. 1</w:t>
      </w:r>
    </w:p>
    <w:p>
      <w:r>
        <w:t>L.________ est né le [...] [...] au [...], d’où il est ressortissant. Il est domicilié à [...], en [...]. Marié, il est le père de deux enfants. Routier professionnel, son salaire mensuel brut est de 5'100 francs. Son loyer s'élève à 1'480 fr. et les primes d'assurance-maladie de la famille à 187 euros. Il s’acquitte de 600 fr. par mois pour le loyer de la chambre de son fils qui est aux études. Il est propriétaire d’un appartement au [...]. Il a contracté deux crédits qu’il rembourse à hauteur de 280 euros et 560 euros par mois.</w:t>
      </w:r>
    </w:p>
    <w:p>
      <w:r>
        <w:rPr>
          <w:b/>
        </w:rPr>
        <w:t>E. 1.4</w:t>
      </w:r>
    </w:p>
    <w:p>
      <w:r>
        <w:t>et 1.6 ; SJ 1994 699 ; CAPE 5 décembre 2017/423 ; CAPE 29 mars 2016/117).</w:t>
      </w:r>
    </w:p>
    <w:p>
      <w:r>
        <w:t>- 9 -</w:t>
      </w:r>
    </w:p>
    <w:p>
      <w:r>
        <w:rPr>
          <w:b/>
        </w:rPr>
        <w:t>E. 2</w:t>
      </w:r>
    </w:p>
    <w:p>
      <w:r>
        <w:t>Par ordonnance pénale du 27 janvier 2020, le Préfet du district de Nyon a constaté que L.________ s’était rendu coupable de violation des règles de la circulation routière, l’a condamné à une amende de 200 fr., convertible en une peine privative de liberté de 2 jours à défaut de paiement dans le délai imparti, et a mis les frais, par 60 fr., à sa charge. Il était reproché à L.________ d'avoir circulé au volant du train routier composé du camion [...] et de la remorque affectée au transport de choses [...], le 22 octobre 2019, à 16h00, sur l’autoroute [...], en ayant une occupation accessoire par la manipulation de son téléphone portable. En temps utile, L.________ a formé opposition contre cette ordonnance. Le Préfet ayant décidé de maintenir son ordonnance, le dossier a été transmis au Tribunal de police de l’arrondissement de La Côte comme objet de sa compétence.</w:t>
      </w:r>
    </w:p>
    <w:p>
      <w:r>
        <w:rPr>
          <w:b/>
        </w:rPr>
        <w:t>E. 3</w:t>
      </w:r>
    </w:p>
    <w:p>
      <w:r>
        <w:t>Par jugement du 7 juillet 2020, le premier juge a libéré le prévenu de toute infraction, retenant, au bénéfice du doute, sa version des faits, soit qu’il recevait les appels privés par ses oreillettes et les appels professionnels par le haut-parleur de son véhicule, sans avoir besoin de prendre son téléphone dans la main. Au surplus, le premier juge a retenu que le fait que L.________ tenait un carnet dans sa main pour y consulter brièvement un nom et une adresse de client en quittant la route</w:t>
      </w:r>
    </w:p>
    <w:p>
      <w:r>
        <w:t>- 4 - du regard par intermittence durant 9 secondes au maximum, ne constituait pas une manipulation qui justifiait une condamnation pour occupation accessoire. En d roit : 1. Interjeté dans les formes et délai légaux (art. 399 CPP [Code de procédure pénale suisse du 5 octobre 2007 ; RS 312.0]) par une partie ayant la qualité pour recourir contre le jugement d'un tribunal de première instance ayant clos la procédure (art. 398 al. 1 CPP), l'appel du Ministère public central est recevable. S'agissant d'un appel dirigé contre une contravention, la procédure est écrite (art. 406 al. 1 let. c CPP) et la cause relève de la compétence d'un juge unique (art. 14 al. 3 LVCPP [loi vaudoise d'introduction du Code de procédure pénale suisse du 19 mai 2009 ; RSV 312.01]). 2. 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6B_1247/2013 du 13 mars 2014 consid. 1.2 et les références citées). En l'espèce, seule une contravention à la législation sur la circulation routière fait l'objet de la procédure, de sorte que l'appel est restreint.</w:t>
      </w:r>
    </w:p>
    <w:p>
      <w:r>
        <w:t>- 5 -</w:t>
      </w:r>
    </w:p>
    <w:p>
      <w:r>
        <w:rPr>
          <w:b/>
        </w:rPr>
        <w:t>E. 3.1</w:t>
      </w:r>
    </w:p>
    <w:p>
      <w:r>
        <w:t>Le Ministère public fait valoir que le premier juge aurait établi les faits de manière arbitraire. Il lui reproche d’avoir écarté les déclarations des gendarmes au profit de celles du prévenu, en faisant ainsi « totalement abstraction » d’un élément de preuve établissant la culpabilité de ce dernier, soit que le prévenu avait déclaré aux gendarmes qu’il avait répondu à un appel, puis consulté un message sur son téléphone portable. Au demeurant, le Ministère public soutient que, selon la jurisprudence, un rapport de dénonciation émanant de gendarmes a force probante.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w:t>
      </w:r>
    </w:p>
    <w:p>
      <w:r>
        <w:t>- 6 -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w:t>
      </w:r>
    </w:p>
    <w:p>
      <w:r>
        <w:rPr>
          <w:b/>
        </w:rPr>
        <w:t>E. 3.2.2</w:t>
      </w:r>
    </w:p>
    <w:p>
      <w:r>
        <w:t>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6B_753/2016 du 24 mars 2017 consid. 1.2 ; TF 6B_146/2016 du 22 août 2016 consid. 4.1).</w:t>
      </w:r>
    </w:p>
    <w:p>
      <w:r>
        <w:t>- 7 -</w:t>
      </w:r>
    </w:p>
    <w:p>
      <w:r>
        <w:rPr>
          <w:b/>
        </w:rPr>
        <w:t>E. 3.3</w:t>
      </w:r>
    </w:p>
    <w:p>
      <w:r>
        <w:t>En l’espèce, contrairement à ce que soutient le Ministère public, le premier juge n’a pas fait abstraction du rapport de police, les constatations qui ressortent de ce document étant expressément mentionnées en pages 6 et 7 du jugement attaqué. Se trouvant face à deux versions divergentes, le premier juge, après avoir apprécié les éléments de preuve, a considéré que la version présentée par l’intimé n'était pas dénuée de crédibilité. En effet, les déclarations de celui-ci apparaissent cohérentes et crédibles, ce que le Ministère public ne conteste d'ailleurs pas. Elles disposent ainsi d’une certaine valeur probante. Le premier juge a donc, à juste titre, considéré que les déclarations du prévenu étaient de nature à jeter un doute sur le contenu du rapport de dénonciation de la police, de sorte qu’il n'avait pas acquis, au-delà de tout doute raisonnable, la conviction que les faits s’étaient déroulés de la manière dont ce rapport les avait décrits. En application du principe in dubio pro reo, il a ainsi retenu la version la plus favorable au prévenu. Partant, les faits n'ont pas été établis de manière arbitraire par le premier juge. Mal fondé, ce grief de l’appelant doit être rejeté.</w:t>
      </w:r>
    </w:p>
    <w:p>
      <w:r>
        <w:rPr>
          <w:b/>
        </w:rPr>
        <w:t>E. 4.1</w:t>
      </w:r>
    </w:p>
    <w:p>
      <w:r>
        <w:t>L’appelant soutient que même selon l’état de fait retenu par le premier juge, l’infraction en cause, soit la violation simple des règles de la circulation routière (art. 90 al. 1 LCR [Loi fédérale sur la circulation routière du 19 décembre 1958 ; RS 741.0] cum 3 al. 1 OCR [Ordonnance sur les règles de la circulation routière du 13 novembre 1962 ; RS 741.11]), serait réalisée. Il invoque la jurisprudence du Tribunal fédéral (TF 1C_183/2016 du 22 septembre 2016 consid. 2.6) pour établir que le comportement adopté par le prévenu serait de nature à distraire l’attention du conducteur, eu égard à l’art. 3 al. 1 OCR.</w:t>
      </w:r>
    </w:p>
    <w:p>
      <w:r>
        <w:rPr>
          <w:b/>
        </w:rPr>
        <w:t>E. 4.2</w:t>
      </w:r>
    </w:p>
    <w:p>
      <w:r>
        <w:t>L’art. 3 al. 1 OCR dispose que le conducteur vouera son attention à la route et à la circulation. Il évitera toute occupation qui rendrait plus difficile la conduite du véhicule. Il veillera en outre à ce que</w:t>
      </w:r>
    </w:p>
    <w:p>
      <w:r>
        <w:t>- 8 -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2e et 3e phr. OCR ; Andreas Roth, in Basler Kommentar Stasseverkehrsgesetz, Basel 2014, n. 50 ad art. 31 LCR).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Selon la jurisprudence,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(ATF 120 IV 63 consid. 2d ; TF 6B_1183/2014 du 27 octobre 2015 consid.</w:t>
      </w:r>
    </w:p>
    <w:p>
      <w:r>
        <w:rPr>
          <w:b/>
        </w:rPr>
        <w:t>E. 4.3</w:t>
      </w:r>
    </w:p>
    <w:p>
      <w:r>
        <w:t>L’arrêt invoqué par l’appelant (TF 1C_183/2016 du 22 septembre 2016 consid. 2.6) expose que celui qui quitte la route des yeux durant un certain temps (« für länger Augenblicke ») viole l’art. 3 al. 1 OCR. Toutefois, l’état de fait de cet arrêt n’est pas comparable avec celui du cas d’espèce, étant donné qu’il est reproché à L.________ d’avoir quitté la route du regard, durant un laps de temps de 9 secondes au plus et par intermittence uniquement. Dans le cas d'espèce, l’attention du conducteur n’a donc pas été distraite de manière plus intense que celle d'un automobiliste qui change de station de radio, ce qui est un acte usuel et autorisé. Partant, le juge de première instance, a, à juste titre, retenu que l’infraction de violation simple des règles de la circulation routière (art. 90 al. 1 LCR cum art. 3 al. 1 OCR) n’était pas réalisée. Ce grief doit donc être rejeté.</w:t>
      </w:r>
    </w:p>
    <w:p>
      <w:r>
        <w:rPr>
          <w:b/>
        </w:rPr>
        <w:t>E. 5</w:t>
      </w:r>
    </w:p>
    <w:p>
      <w:r>
        <w:t>En définitive, mal fondé, l’appel du Ministère public doit être rejeté et le jugement attaqué confirmé. Vu l’issue de la cause, les frais d’appel, constitués du seul émolument de jugement par 720 fr. (art. 21 al. 1 TFIP [Tarif des frais de procédure et indemnités en matière pénale du 28 septembre 2010;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