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PE20.004825 vom 2. März 2021</w:t>
      </w:r>
    </w:p>
    <w:p>
      <w:r>
        <w:t>VD Tribunal cantonal, 2021-03-02, FR</w:t>
      </w:r>
    </w:p>
    <w:p>
      <w:r>
        <w:rPr>
          <w:b/>
        </w:rPr>
        <w:t xml:space="preserve">Quelle: </w:t>
      </w:r>
      <w:r>
        <w:t>https://mcp.opencaselaw.ch/entscheid/vd_gerichte_PE20.004825</w:t>
      </w:r>
    </w:p>
    <w:p>
      <w:r>
        <w:t>FR: VD_GERICHTE PE20.004825 du 2 mars 2021</w:t>
      </w:r>
    </w:p>
    <w:p>
      <w:r>
        <w:t>IT: VD_GERICHTE PE20.004825 del 2 marzo 2021</w:t>
      </w:r>
    </w:p>
    <w:p>
      <w:pPr>
        <w:pStyle w:val="Heading2"/>
      </w:pPr>
      <w:r>
        <w:t>Erwägungen</w:t>
      </w:r>
    </w:p>
    <w:p>
      <w:r>
        <w:rPr>
          <w:b/>
        </w:rPr>
        <w:t>E. 6</w:t>
      </w:r>
    </w:p>
    <w:p>
      <w:r>
        <w:t>à 10), d’où il résulterait des variations dans les versions présentées, au sujet de la position sur le lit de celle-ci (assise ou couchée), sur la manière dont le prévenu lui aurait enlevé son pantalon, au sujet de l’alcool qu’elle aurait consommé, sur le fait que le prévenu se serait mis sur elle à califourchon et sur les cris qu’elle aurait poussés. 4.2 4.2.1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4.2.2 La présomption d'innocence, garantie par les art. 10 CPP, 32 al. 1 Cst., 14 par. 2 Pacte ONU II et 6 par. 2 CEDH, ainsi que son corollaire, le principe</w:t>
      </w:r>
    </w:p>
    <w:p>
      <w:r>
        <w:t>- 18 - « in dubio pro reo », concernent tant le fardeau de la preuve que l'appréciation des preuves au sens large (ATF 144 IV 345 consid. 2.2.3.1;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144 IV 345 consid. 2.2.3.3; ATF 143 IV 500 consid. 1.1; ATF 138 V 74 consid. 7). L'appréciation des preuves, respectivement l'établissement des faits,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 Kuhn/Perrier Depeursinge [éd.], Code de procédure pénale suisse, Commentaire romand, 2e éd., Bâle 2019, n. 34 ad art. 10 CPP; Kistler Vianin, op. cit., nn. 19-20 ad art. 398 CPP et les références). Lorsque l'autorité cantonale a forgé sa conviction quant aux faits sur la base d'un ensemble d'éléments ou d'indices convergents, il ne</w:t>
      </w:r>
    </w:p>
    <w:p>
      <w:r>
        <w:t>- 19 -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6B_1035/2020 du 20 mai 2021 consid. 1.1 et les réf. citées; TF 6B_621/2020 du 9 décembre 2020 consid. 1.1).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 4.2.3 Les déclarations de la victime constituent un élément de preuve. Le juge doit, dans l'évaluation globale de l'ensemble des éléments probatoires rassemblés au dossier, les apprécier librement (TF 6B_717/2020 du 26 novembre 2020 consid. 2.1.1; TF 6B_1283/2018 du 14 février 2019 consid. 1.3 et les réf. citées; TF 6B_1306/2017 du 17 mai 218 consid. 2.1.1), sous réserve des cas particuliers où une expertise de la crédibilité des déclarations de la victime s'impose (cf.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w:t>
      </w:r>
    </w:p>
    <w:p>
      <w:r>
        <w:t>- 20 - déclarations des participants incombe au tribunal du fond (ATF 137 IV 122 consid. 3.3; TF 6B_1283/2018 du 14 février 2019 consid. 1.3). 4.3 Quoi qu’en dise l’appelant, les variations entre les divers récits donnés par la plaignante portent bien sur des points de détails, de sorte que l’appréciation des premiers juges à cet égard doit être confirmée. D’ailleurs, hormis ses déclarations initiales faites à la police et qui n’ont de toute manière pas été retranscrites dans un procès-verbal d’audition, le récit de la plaignante est demeuré constant, sur la façon dont le viol qu’elle a subi s’était déroulé, soit sur la manière dont elle avait été plaquée sur le lit, sur l’usage de la force par le prévenu pour la contraindre à écarter les jambes, sur la manière dont elle avait été déshabillée et maintenue sous le corps du prévenu. En outre, les premiers juges ne se sont pas seulement fondés sur les déclarations de la plaignante pour juger de sa crédibilité, mais également sur les circonstances du dévoilement, en relevant que la victime avait également appelé immédiatement sa psychiatre après les faits, parce qu’elle était apeurée et choquée, ce qui est confirmé par sa thérapeute et par le relevé de son téléphone. Les premiers juges se sont également fondés sur les échanges téléphoniques entre les parties qui confirmaient à plusieurs reprises que la plaignante ne voulait pas entretenir de relations sexuelles avec le prévenu (P. 8 à 10). Enfin, l’appelant se garde bien d’évoquer les variations de ses propres déclarations, bien plus importantes que celles qu’il impute à l’intimée, car correspondant à des versions des faits totalement différentes et non seulement à des divergences sur des points de détails. Ainsi, il a déclaré aux légistes qu’il avait tenté d’embrasser la plaignante sur la bouche, mais qu’elle l’avait repoussé et qu’elle était ensuite partie (P. 16, p. 8). Lors de sa première audition, il a expliqué avoir caressé la poitrine de la plaignante et s’être livré à des attouchements réciproques, excluant toute pénétration (PV aud. 3, R. 12). Confronté à la découverte de sa salive sur les zones érogènes de la plaignante, il a ensuite admis avoir essayé de lui lécher le vagin (PV aud. 5, R. 9). Il a finalement admis avoir eu des relations sexuelles avec la plaignante peu avant l’arrivée de la police (PV aud. 7, l. 52 à 58). Aux débats, il a encore changé de version (cf. jugement en p. 22). C’est dire que le prévenu n’a cessé de modifier sa version pour</w:t>
      </w:r>
    </w:p>
    <w:p>
      <w:r>
        <w:t>- 21 - s’adapter aux éléments successivement révélés par l’enquête. C’est donc à juste titre que les premiers juges ont considéré que la plaignante était crédible, alors que le prévenu ne l’était pas. 5. 5.1 Se prévalant à nouveau d’une constatation incomplète ou erronée des faits, l’appelant fait grief aux premiers juges de n’avoir pris en compte que les éléments à charge résultant des analyses d’ADN, écartant ainsi la possibilité d’un transfert de son propre ADN à l’intérieur du vagin de la plaignante sans qu’il n’y ait eu pénétration. 5.2 Pour ce qui est des principes applicables à l’appréciation des faits, il est renvoyé au considérant 4.2.2 ci-dessus. 5.3 Contrairement à ce que semble soutenir l’appelant, le Tribunal correctionnel n’a pas retenu que les traces d’ADN constituaient la preuve d’une pénétration, mais que ces traces, considérées dans leur ensemble, soit celles du prévenu, mais aussi celles de la plaignante, étaient compatibles avec la version du déroulement des faits de cette dernière (jugement, pp. 38-39). De toute manière, les premiers juges n’ont fait aucune fausse interprétation de l’expertise, puisqu’ils ont cité textuellement les conclusions données par l’expert aux débats au sujet de l’hypothèse d’une pénétration du vagin de la plaignante par le sexe du prévenu (ibidem). Encore une fois, les dénégations du prévenu au sujet de la pénétration sont de toute manière dépourvues de crédibilité, dès lors qu’il a, durant l’une de ses auditions (PV aud. 7, l. 52 à 58, déjà cité), admis avoir eu un rapport sexuel complet.</w:t>
      </w:r>
    </w:p>
    <w:p>
      <w:r>
        <w:rPr>
          <w:b/>
        </w:rPr>
        <w:t>E. 6.1</w:t>
      </w:r>
    </w:p>
    <w:p>
      <w:r>
        <w:t>L’appelant conteste également l’appréciation des preuves effectuée par les premiers juges, s’agissant de la portée du rapport de police concernant les déclarations de la plaignante et de la valeur probante des certificats médicaux du thérapeute de celle-ci.</w:t>
      </w:r>
    </w:p>
    <w:p>
      <w:r>
        <w:t>- 22 -</w:t>
      </w:r>
    </w:p>
    <w:p>
      <w:r>
        <w:rPr>
          <w:b/>
        </w:rPr>
        <w:t>E. 6.2</w:t>
      </w:r>
    </w:p>
    <w:p>
      <w:r>
        <w:t>Le principe de l'appréciation libre des preuves interdit d'attribuer d'entrée de cause une force probante accrue à certains moyens de preuve, comme des rapports de police (TF 1P.283/2006 du 4 août 2006 consid. 2.3).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(cf. TF 6B_353/2015 du 14 décembre 2015 consid. 2; TF 6B_750/2010 du 5 mai 2011 consid. 2.2).</w:t>
      </w:r>
    </w:p>
    <w:p>
      <w:r>
        <w:rPr>
          <w:b/>
        </w:rPr>
        <w:t>E. 6.3.1</w:t>
      </w:r>
    </w:p>
    <w:p>
      <w:r>
        <w:t>Les premiers juges ont retenu que le résumé des faits tel qu’il apparaissait dans le rapport de police (P. 15) ne reposait pas sur une audition formelle de la plaignante, de sorte qu’il ne constituait pas un résumé fiable des déclarations de la plaignante (jugement, pp. 36-37). On ne voit pas en quoi cette appréciation serait critiquable, dès lors que ce même rapport relève la très mauvaise compréhension du français par cette dernière (P. 15, p. 3). Cette appréciation est dès lors adéquate. C’est donc en vain que l’appelant invoque la valeur probante du rapport de police, alors que, conformément à la jurisprudence du Tribunal fédéral citée par l’appelant lui-même, il appartient bien aux premiers juges d’apprécier librement la valeur probante des retranscriptions figurant dans un tel document.</w:t>
      </w:r>
    </w:p>
    <w:p>
      <w:r>
        <w:rPr>
          <w:b/>
        </w:rPr>
        <w:t>E. 6.3.2</w:t>
      </w:r>
    </w:p>
    <w:p>
      <w:r>
        <w:t>Quant à la valeur probante des certificats médicaux délivrés par la thérapeute de la plaignante, attestant notamment d’un symptôme de stress post-traumatique, elle n’est pas absolue et ne constitue pas une preuve en soi. Ces avis n’ont été pris en compte que pour accréditer la version de la plaignante (jugement, p. 39, 2e par.). On ne discerne donc aucune appréciation erronée des preuves à cet égard non plus.</w:t>
      </w:r>
    </w:p>
    <w:p>
      <w:r>
        <w:rPr>
          <w:b/>
        </w:rPr>
        <w:t>E. 6.4</w:t>
      </w:r>
    </w:p>
    <w:p>
      <w:r>
        <w:t>En définitive, c’est à bon droit que les premiers juges ont retenu, sur la base de ces éléments probatoires, que la plaignante avait été contrainte à l’acte sexuel par le prévenu.</w:t>
      </w:r>
    </w:p>
    <w:p>
      <w:r>
        <w:t>- 23 -</w:t>
      </w:r>
    </w:p>
    <w:p>
      <w:r>
        <w:rPr>
          <w:b/>
        </w:rPr>
        <w:t>E. 6.5</w:t>
      </w:r>
    </w:p>
    <w:p>
      <w:r>
        <w:t>L’art. 190 al. 1 CP prévoit que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L'art. 190 CP interdit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TF 6B_159/2020 du 20 avril 2020 consid. 2.4.1; TF 6B_502/2017 du 16 avril 2018 consid. 1.1). L’art. 190 CP, tout comme l'art. 189 CP réprimant la contrainte sexuelle, tend à protéger la libre détermination en matière sexuelle, en réprimant l'usage de la contrainte aux fins d'amener une personne à faire ou à subir, sans son consentement, l'acte sexuel. Il s'agit d’un délit de violence, qui doit être considéré principalement comme un acte d'agression physique (ATF 131 IV 107 consid. 2.2; ATF 128 IV 97 consid. 2b; ATF 124 IV 154 consid. 3b; TF 6B_159/2020 précité).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ATF 131 IV 167 consid. 3.1).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6B_159/2020 précité; TF 6B_502/2017 précité; TF 6B_710/2012 du 3 avril 2013 consid. 3.1).</w:t>
      </w:r>
    </w:p>
    <w:p>
      <w:r>
        <w:t>- 24 -</w:t>
      </w:r>
    </w:p>
    <w:p>
      <w:r>
        <w:rPr>
          <w:b/>
        </w:rPr>
        <w:t>E. 6.6</w:t>
      </w:r>
    </w:p>
    <w:p>
      <w:r>
        <w:t>Du fait de la contrainte en matière sexuelle, suivie d’un acte sexuel consommé, exercée par l’auteur en dépit du refus explicitement signifié par sa victime, les éléments constitutifs du viol (cf. ci-dessus) sont réalisés. Cette qualification doit ainsi être confirmée.</w:t>
      </w:r>
    </w:p>
    <w:p>
      <w:r>
        <w:rPr>
          <w:b/>
        </w:rPr>
        <w:t>E. 7.1</w:t>
      </w:r>
    </w:p>
    <w:p>
      <w:r>
        <w:t>L’appelant conteste à titre subsidiaire la peine infligée, qu’il tient pour trop sévère. Il fait grief au Tribunal correctionnel de ne pas avoir tenu compte des excuses prononcées par lui durant l’instruction, ni du fait qu’il aurait cessé les rapports sexuels avant éjaculation. Il invoque ainsi implicitement une violation de l’art. 47 CP.</w:t>
      </w:r>
    </w:p>
    <w:p>
      <w:r>
        <w:rPr>
          <w:b/>
        </w:rPr>
        <w:t>E. 7.2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TF 6B_776/2020 du 5 mai 2021, destiné à la publication, consid. 4.1).</w:t>
      </w:r>
    </w:p>
    <w:p>
      <w:r>
        <w:t>- 25 -</w:t>
      </w:r>
    </w:p>
    <w:p>
      <w:r>
        <w:rPr>
          <w:b/>
        </w:rPr>
        <w:t>E. 7.3</w:t>
      </w:r>
    </w:p>
    <w:p>
      <w:r>
        <w:t>Pour apprécier la culpabilité du prévenu, le Tribunal correctionnel a retenu qu’il avait profité de la situation de détresse et de la confiance de sa victime pour arriver à ses fins. Les premiers juges ont précisé qu’il savait que la plaignante avait des problèmes psychologiques et physiques, ainsi que des soucis de logement. Le Tribunal correctionnel a en outre retenu à charge que le prévenu n’avait eu de cesse de nier les faits incriminés et de changer de version, qu’il avait dénigré la plaignante, qu’il n’avait fait preuve d’aucun remords ni d’aucune prise de conscience et qu’il n’avait eu aucun mot en faveur de sa victime, qu’il avait accablée jusqu’à la fin des débats en bafouant sa dignité tout au long de l’instruction. Toujours à charge, les premiers juges ont enfin retenu la récidive, soit les antécédents de l’intéressé. A décharge, ils se sont limités à faire état de sa situation personnelle difficile. Les éléments retenus sont adéquats. Il n’en reste pas moins que la peine privative de liberté paraît un peu trop lourde, car, dans sa quotité, elle correspond plutôt à la sanction d’un viol aggravé au sens de l’art. 190 al. 3 ou 200 CP. Or, aucune de ces circonstances aggravantes n’est réalisée en l’espèce. L’appelant a en effet usé de sa force physique sans brutalité particulière. Il n’en reste pas moins que la culpabilité est lourde en raison des motifs retenus par les premiers juges. Tout bien considéré, il se justifie d’arrêter à quatre ans la quotité de la peine privative de liberté.</w:t>
      </w:r>
    </w:p>
    <w:p>
      <w:r>
        <w:rPr>
          <w:b/>
        </w:rPr>
        <w:t>E. 8.1</w:t>
      </w:r>
    </w:p>
    <w:p>
      <w:r>
        <w:t>L’appelant critique le montant de la réparation du tort moral allouée à la plaignante, dont il soutient qu’il ne reposerait pas sur des indications médicales suffisantes.</w:t>
      </w:r>
    </w:p>
    <w:p>
      <w:r>
        <w:rPr>
          <w:b/>
        </w:rPr>
        <w:t>E. 8.2</w:t>
      </w:r>
    </w:p>
    <w:p>
      <w:r>
        <w:t>Celui qui subit une atteinte illicite à sa personnalité a aussi droit à une somme d'argent à titre de réparation morale, pour autant que la gravité de l'atteinte le justifie et que l'auteur ne lui ait pas donné satisfaction autrement (art. 49 al. 1 CO).</w:t>
      </w:r>
    </w:p>
    <w:p>
      <w:r>
        <w:t>- 26 -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(ATF 130 III 699 consid. 5.1; ATF 129 IV 22 consid. 7.2).</w:t>
      </w:r>
    </w:p>
    <w:p>
      <w:r>
        <w:rPr>
          <w:b/>
        </w:rPr>
        <w:t>E. 8.3</w:t>
      </w:r>
    </w:p>
    <w:p>
      <w:r>
        <w:t>Le montant alloué au titre de réparation du tort moral est adéquat. Les conséquences psychiques dommageables pour la plaignante de l’acte illicite en cause résultent clairement des certificats médicaux produits, auxquels il suffit dès lors de renvoyer (P. 27, 50/2 et 84/3). Il en va de même du caractère durable de ces atteintes, révélé en particulier par le dernier de ces avis, établi le 25 février 2021. En effet, il en découle que l’intimée est toujours en traitement psychiatrique, pour un diagnostic inchangé; l’évolution est lente mais progressivement favorable. Si besoin en était, le caractère durable des troubles a en outre été révélé par le fait que, durant l’audition du prévenu à l’audience d’appel, la plaignante a subi une crise de décompensation, de sorte qu’elle a été autorisée à quitter la salle d’audience avec son conseil, avant de renoncer à participer à la suite de l’audience après sa propre audition. Partant, le grief d’insuffisance de renseignements sur les atteintes psychiques doit être rejeté. Pour le reste, le jugement entrepris tient compte de manière adéquate de l’état antérieur de la lésée en exposant dans quelle mesure les troubles actuels ont été aggravés par l’acte dommageable, dont ils sont dès lors séquellaires (cf. ATF 131 III 12 consid. 4 p. 13 ss et les références citées; TF 6B_181/2020 du 21 décembre 2020 consid. 3.3.1).</w:t>
      </w:r>
    </w:p>
    <w:p>
      <w:r>
        <w:rPr>
          <w:b/>
        </w:rPr>
        <w:t>E. 9</w:t>
      </w:r>
    </w:p>
    <w:p>
      <w:r>
        <w:t>- 27 -</w:t>
      </w:r>
    </w:p>
    <w:p>
      <w:r>
        <w:rPr>
          <w:b/>
        </w:rPr>
        <w:t>E. 9.1</w:t>
      </w:r>
    </w:p>
    <w:p>
      <w:r>
        <w:t>L’appelant formule également des conclusions en réparation du tort moral en rapport avec ses conditions de détention depuis le 13 mars 2020, qu’il tient pour illicites. A l’audience d’appel, il a conclu à une déduction équivalant à un tiers à une demie du nombre de jours de détention avant jugement jusqu’au jour du présent jugement. Ce faisant, il a modifié ses conclusions antérieures qui tendaient à une réparation pécuniaire (P. 106, déjà mentionnée).</w:t>
      </w:r>
    </w:p>
    <w:p>
      <w:r>
        <w:rPr>
          <w:b/>
        </w:rPr>
        <w:t>E. 9.2.1</w:t>
      </w:r>
    </w:p>
    <w:p>
      <w:r>
        <w:t>Aux termes de l’art. 431 al. 1 CPP, si le prévenu a, de manière illicite, fait l’objet de mesures de contrainte, l’autorité pénale lui alloue une juste indemnité et réparation du tort moral. Si l'indemnisation de conditions de détention illicites avant jugement n'est pas prévue expressément par le CPP, le Tribunal fédéral a admis qu'elle pouvait trouver son fondement dans l'art. 431 CPP (ATF 147 IV 55 consid. 2.2.1; ATF 141 IV 349 consid. 4.3 p. 359 s.; ATF 140 I 246 consid. 2.5.1 p. 250 et 2.6 p. 251; cf. également ATF 140 I 125 consid. 2.1 p. 128; ATF 139 IV 41 consid. 3.4 p. 45). La mesure de contrainte est illicite lorsqu’elle est contraire aux règles de procédure pénale, soit lorsqu’elle n’a pas été ordonnée correctement ou que son exécution ne s’est pas déroulée de manière conforme (Moreillon/Parein-Reymond, Petit commentaire du Code de procédure pénale, 2e éd., Bâle 2016, n. 3 ad art. 431 CPP). En vertu de l’art. 43 CO, une réparation en nature n’est pas exclue (ATF 142 IV 245 consid. 4.1). D'après la jurisprudence de la Cour européenne des droits de l'Homme (CourEDH), une réduction de peine en proportion des jours passés dans des conditions inhumaines ou dégradantes peut, sous certaines conditions, constituer un redressement satisfaisant en cas de violation de l'art. 3 CEDH, à condition que, d'une part, elle soit explicitement octroyée pour réparer la violation de cette disposition et que, d'autre part, son impact sur le quantum de la peine de la personne intéressée soit mesurable (affaires CourEDH Rezmiveș et</w:t>
      </w:r>
    </w:p>
    <w:p>
      <w:r>
        <w:t>- 28 - autres c. Roumanie du 25 avril 2017 [requêtes nos 61467/12, 39516/13, 48231/13 et 68191/13] § 125; Shishanov c. République de Moldova du 15 septembre 2015 [requête n° 11353/06] § 137; Stella et autres c. Italie du 16 septembre 2014 [requête n° 49169/09] § 58 ss; cf. TF 6B_284/2020 du 3 juillet 2020 consid. 2.1.1). Lorsqu’elle est adéquate, cette forme de réparation devrait même être préférée à l’allocation d’une indemnité pécuniaire, compte tenu du principe de subsidiarité de l’indemnisation (CREP 30 juillet 2014/526 consid. 2b et les références citées) et dès lors que l’on peut considérer que la liberté a en principe une valeur plus importante qu’une quelconque somme d’argent (cf. not. CAPE 22 février 2021/70 consid. 6.1.1; CAPE 8 octobre 2015/387 consid. 2.2; CAPE</w:t>
      </w:r>
    </w:p>
    <w:p>
      <w:r>
        <w:rPr>
          <w:b/>
        </w:rPr>
        <w:t>E. 9.2.2</w:t>
      </w:r>
    </w:p>
    <w:p>
      <w:r>
        <w:t>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TF 1B_325/2017 du 14 novembre 2017 consid. 3.3; TF 6B_456/2015 du 21 mars 2016 consid. 2.1). En principe, si la surface disponible est égale ou supérieure à 4 m2, les conditions de détention ne sont pas illicites (CAPE 29 octobre 2019/431, JdT 2019 III 189).</w:t>
      </w:r>
    </w:p>
    <w:p>
      <w:r>
        <w:rPr>
          <w:b/>
        </w:rPr>
        <w:t>E. 9.3</w:t>
      </w:r>
    </w:p>
    <w:p>
      <w:r>
        <w:t>Arrêté le 13 mars 2020, le prévenu a été détenu en zone carcérale du Centre de la Blécherette jusque et y compris au 16 mars suivant, avant d’être transféré à la Prison de la Croisée le lendemain 17 mars 2020. Deux jours de détention dans des conditions illicites ont d’ores et déjà été pris en compte par le Tribunal correctionnel en réparation des</w:t>
      </w:r>
    </w:p>
    <w:p>
      <w:r>
        <w:t>- 29 - conditions de détention à la Blécherette après les premières 48 heures. Seule demeurent donc litigieuses les conditions de détention à la Croisée. L’instruction conduite en procédure d’appel a établi que les trois cellules successivement occupées par le détenu seul avaient chacune une surface de 12,6 m2 (y compris la surface occupée par le mobilier). Elles sont donc toutes d’une surface supérieure à 4 m2 par détenu. Elles bénéficiaient d’un éclairage par lumière naturelle au travers de la fenêtre, qui pouvait être ouverte par ventail. On ne discerne aucune condition illicite s’agissant des autres caractéristiques de la cellule, séparée des toilettes par un rideau. Il s’agit donc de conditions de détention licites. Le fait que le prévenu ne travaille pas, faute d’être en exécution de peine, n’y change rien. Hormis la période postérieure aux 48 premières heures de détention au Centre de la Blécherette, déjà prise en compte (cf. ci-dessus), il n’y donc pas de tort moral qui nécessiterait une réparation sous quelque forme que ce soit.</w:t>
      </w:r>
    </w:p>
    <w:p>
      <w:r>
        <w:rPr>
          <w:b/>
        </w:rPr>
        <w:t>E. 10</w:t>
      </w:r>
    </w:p>
    <w:p>
      <w:r>
        <w:t>L’appelant ne conteste pas son expulsion du territoire suisse et il peut être renvoyé à la décision de première instance sur cette question (art. 82 al. 4 CPP).</w:t>
      </w:r>
    </w:p>
    <w:p>
      <w:r>
        <w:rPr>
          <w:b/>
        </w:rPr>
        <w:t>E. 11</w:t>
      </w:r>
    </w:p>
    <w:p>
      <w:r>
        <w:t>La détention subie par l’appelant depuis le jugement de première instance doit être déduite (art. 51 CP). Vu le risque évident de réitération et la nécessité de garantir l’exécution de la peine, son maintien en détention pour des motifs de sûreté doit également être ordonné.</w:t>
      </w:r>
    </w:p>
    <w:p>
      <w:r>
        <w:rPr>
          <w:b/>
        </w:rPr>
        <w:t>E. 12</w:t>
      </w:r>
    </w:p>
    <w:p>
      <w:r>
        <w:t>Vu l’issue de l’appel, l’émolument d’appel, par 3'340 fr. (art. 21 al. 1 et 2 TFIP [Tarif des frais de procédure et indemnités en matière pénale du 28 septembre 2010; RSV 312.03.1]) sera mis à raison des trois quarts à la charge de l’appelant, qui succombe dans une large mesure (art. 428 al. 1, 1re phrase, CPP), le solde étant laissé à la charge de l’Etat (art. 423 al. 1 CPP).</w:t>
      </w:r>
    </w:p>
    <w:p>
      <w:r>
        <w:t>- 30 - Les frais d’appel à la charge du prévenu comprennent, outre les trois quarts de l’émolument, une part identique de l’indemnité en faveur du défenseur d’office du prévenu et de l’indemnité allouée au conseil d’office de l’intimée (art. 422 al. 1 et al. 2 let. a CPP), le solde étant laissé à la charge de l’Etat. L’indemnité de défense d’office doit être arrêtée sur la base de la liste d’opérations produite (P. 107), compte tenu, en outre, de la durée de l’audience d’appel, par une heure et demie. Il y a ainsi lieu de retenir une durée d’activité d’avocate de 17 heures et 50 minutes, y compris l’audience d’appel, ce qui correspond à des honoraires de 3'210 francs. Aux honoraires il convient d’ajouter des débours forfaitaires à concurrence de 2 % (art. 3bis al. 1 RAJ [Règlement du 7 décembre 2010 sur l'assistance judiciaire en matière civile; BLV 211.02.3], applicable par renvoi de l’art. 26b TFIP), ainsi que trois vacations pour un montant forfaitaire de 120 fr. chacune, y compris pour l’audience d’appel, plus la TVA sur le tout. L’indemnité s’élève donc à 3'914 fr. 05, débours et TVA compris. L’indemnité de conseil d’office doit être arrêtée sur la base de la liste d’opérations produite (P. 108), compte tenu, en outre, de la durée de l’audience d’appel, par une heure et demie. Il y a ainsi lieu de retenir une durée d’activité d’avocate de neuf heures et 42 minutes, y compris l’audience d’appel, ce qui correspond à des honoraires de 1'746 francs. Aux honoraires il convient d’ajouter des débours forfaitaires à concurrence de 2 %, ainsi qu’une vacation d’avocate de 120 fr. pour l’audience d’appel, plus la TVA sur le tout. L’indemnité s’élève donc à 2'047 fr. 30, débours et TVA compris. L’appelant sera tenu de rembourser les trois quarts de l’indemnité de défense d’office et les trois quarts de l’indemnité de conseil d'office prévues ci-dessus dès que sa situation financière le permettra (art. 135 al. 4 let. a CPP).</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