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PE20.004464 vom 19. Juli 2021</w:t>
      </w:r>
    </w:p>
    <w:p>
      <w:r>
        <w:t>VD Tribunal cantonal, 2021-07-19, FR</w:t>
      </w:r>
    </w:p>
    <w:p>
      <w:r>
        <w:rPr>
          <w:b/>
        </w:rPr>
        <w:t xml:space="preserve">Quelle: </w:t>
      </w:r>
      <w:r>
        <w:t>https://mcp.opencaselaw.ch/entscheid/vd_gerichte_PE20.004464</w:t>
      </w:r>
    </w:p>
    <w:p>
      <w:r>
        <w:t>FR: VD_GERICHTE PE20.004464 du 19 juillet 2021</w:t>
      </w:r>
    </w:p>
    <w:p>
      <w:r>
        <w:t>IT: VD_GERICHTE PE20.004464 del 19 luglio 2021</w:t>
      </w:r>
    </w:p>
    <w:p>
      <w:pPr>
        <w:pStyle w:val="Heading2"/>
      </w:pPr>
      <w:r>
        <w:t>Erwägungen</w:t>
      </w:r>
    </w:p>
    <w:p>
      <w:r>
        <w:rPr>
          <w:b/>
        </w:rPr>
        <w:t>E. 4.1</w:t>
      </w:r>
    </w:p>
    <w:p>
      <w:r>
        <w:t>L’appelant soutient qu’il n’avait pas l’intention de causer des lésions corporelles graves au plaignant. Il fait valoir qu’il n’aurait jamais envisagé de le blesser sérieusement, qu’il s’attendait à ce qu’il se relève et qu’il aurait même regagné son établissement pour éviter que l’affrontement reprenne. Il soutient qu’il aurait tout au plus tenu pour possible et accepté d’infliger au plaignant des voies de fait, voire des lésions corporelles simples et admet tout au plus d’être condamné le cas échéant pour lésions corporelles simples en concours avec des lésions corporelles graves par négligence, en référence à l’ATF 134 IV 26.</w:t>
      </w:r>
    </w:p>
    <w:p>
      <w:r>
        <w:rPr>
          <w:b/>
        </w:rPr>
        <w:t>E. 4.2</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Petit Commentaire du Code pénal, 2e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 2.3.2 ; ATF 133 IV 9 consid. 4.1 ; ATF 131 IV 1 consid. 2.2 ; TF 6B_991/2020 du 27 août 2021 consid. 1.2.2). Faute d'aveux, le juge ne peut, en règle générale, déduire la volonté interne de l'intéressé qu'en se fondant sur des indices extérieurs et des règles d'expérience. Parmi les éléments extérieurs permettant de conclure que l'auteur s'est accommodé du résultat, la jurisprudence</w:t>
      </w:r>
    </w:p>
    <w:p>
      <w:r>
        <w:t>- 21 - retient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134 IV 26 consid. 3.2.2, JdT 2009 IV 43 ; TF 6B_1279/2020 du 30 juin 2021 consid. 2.1.2 et les références citées). Il n'est cependant pas nécessaire que le risque de voir le danger se concrétiser soit particulièrement élevé pour admettre le dol éventuel (ATF 134 IV 26 précité ; ATF 133 IV 9 précité ; TF 6B_721/2020 et TF 6B_730/2020 du 11 février 2021 consid. 4.1.1).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références citées ; TF 6B_366/2020 et TF 6B_404/2020 du 17 novembre 2020 consid. 3.1.1 ; TF 6B_924/2017 du 14 mars 2018 consid. 1.1.2). Peuvent également constituer des éléments extérieurs révélateurs les mobiles de l'auteur et la manière dont il a agi (ATF 138 V 74 précité). Sur le plan subjectif, l'art. 122 CP définit une infraction de nature intentionnelle. Le dol éventuel suffit (TF 6B_388/2012 du 12 novembre 2012 consid. 2.2.1; Rémy, in : CR CP II, op. cit., nn. 14 s. ad art. 122 CP). L'intention de l'auteur doit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graves par négligence (art. 125 al. 2 CP) en concours idéal parfait (ATF 134 IV 26 précité consid. 4 ; TF 6B_922/2018 du 9 janvier 2020 consid. 4.2 ; Rémy, in : CR CP II, op. cit., n. 15 ad art. 122 CP ; Stratenwerth/Jenny/Bommer, Schweizerisches Strafrecht, Besonderer Teil I : Straftaten gegen Individualinteressen, 7e éd. 2010, n. 34 p. 75). Selon la jurisprudence, l'analyse de l'élément subjectif en matière de lésions corporelles résultant de coups de poing dépend des circonstances concrètes de chaque cas d'espèce. Parmi les critères</w:t>
      </w:r>
    </w:p>
    <w:p>
      <w:r>
        <w:t>- 22 - déterminants à prendre en compte figurent la violence des coups portés et la constitution de la victime (TF 6B_388/2012 précité consid. 2.4.2). Le fait qu'un comportement apparaisse propre, dans l'abstrait, à causer des lésions corporelles (objectivement) graves au sens de l'art. 122 CP ne suffit pas sans autre à retenir l'intention (TF 6B_161/2016 du 12 octobre 2016 consid. 1.4.2). La fragilité de la victime ne peut être prise en compte que si elle était connue de l'auteur (TF 6B_922/2018 précité ; Trechsel/Geth, in : Trechsel/Pieth [éd.], Schweizerisches Strafgesetzbuch : Praxiskommentar, 4e éd., Zurich/St-Gall 2021, n. 10 ad art. 122 CP).</w:t>
      </w:r>
    </w:p>
    <w:p>
      <w:r>
        <w:rPr>
          <w:b/>
        </w:rPr>
        <w:t>E. 4.3</w:t>
      </w:r>
    </w:p>
    <w:p>
      <w:r>
        <w:t>Athlétique et puissant, l’appelant est un sportif ; il a travaillé comme agent de sécurité, a l’expérience des bagarres et se décrit comme un ancien bagarreur. Il joue au hockey sur glace depuis l’âge de quatre ans. A 40 ans, il entraîne une équipe de vétérans au [...]. Entre 2007 et 2009, il a suivi une formation de professeur de fitness et a travaillé ensuite deux ans dans cette branche, avant de travailler comme agent de sécurité dans une discothèque lausannoise pendant au moins deux ans. Selon ses dires, lors d’affrontements, des verres et des bouteilles ont été brisés sur sa tête et son visage. Il a aussi été menacé avec un couteau et pris à partie par un groupe d’adversaires nombreux (PV aud. 4, p. 3 ; jugement, p. 4). Il a également beaucoup travaillé dans des bars, tant au Canada qu’en Suisse, activités dans le cadre desquelles il a été confronté à des bagarres. Dans une audition du 8 février 2012 (P. 26/3, R. 21), il a notamment déclaré « pendant ma période difficile [ndlr : d’intégration en Suisse], j’avais une réputation de bagarreur. Mais cela m’a passé et j’ai réussi à faire changer mon image. Je n’ai pas besoin d’en venir aux mains pour me faire respecter, notamment dans mon activité de gérant. Toutes ces histoires de bagarre ne m’intéressent plus », précisant : « Cela fait trois ans que je n’ai plus eu d’histoires. Ces faits étaient souvent liés à l’alcool, raison pour laquelle je ne bois plus. » (P. 26/3, R. 3). Il a déjà été condamné pour bagarre au Canada (P. 26/3, R. 3) et également en Suisse, notamment pour un coup de poing donné le 9 février 2019 au visage d’un homme devant le bar D.________ et plusieurs autres coups assénés alors que son adversaire était tombé au sol (P. 7).</w:t>
      </w:r>
    </w:p>
    <w:p>
      <w:r>
        <w:t>- 23 - Dans la présente affaire, le coup de poing donné par l’appelant était puissant, son énergie étant encore augmentée par sa masse et son élan dès lors qu’il s’est précipité pour cogner le plaignant au point qu’emporté par sa vitesse, il a dû enjamber le corps de la victime au sol (jugement, p. 24 in fine). Ce coup de poing a en outre été donné par surprise au plaignant, qui luttait sans échanger de coups avec l’agent de sécurité R.________, tous deux appuyés à une vitrine. Visant le menton ou le visage, le coup de poing a été asséné pour neutraliser l’adversaire de manière décisive, le mettre hors de combat, le faire s’évanouir, d’un seul geste. Force est d’en conclure que l’appelant a pris parti contre l’intégrité physique d’un homme plus léger et frêle que lui, vulnérable, en le frappant par surprise au côté gauche du menton ou du visage avec une force et une violence telles que ce coup lui a fracturé un os du crâne et lui a causé de graves lésions neurologiques. Contrairement à ce qu’il soutient, un homme qui a l’expérience d’un agent de sécurité et qui est rompu aux bagarres comme l’appelant sait pertinemment que des coups puissants portés à certains endroits du corps, notamment au visage, au menton, aux tempes, à la gorge, à la nuque, au cœur ou au plexus, non seulement mettent l’adversaire hors de combat, mais surtout sont susceptibles de blesser sérieusement et même de tuer. Il ne pouvait également ignorer que des projections ou chutes sur des surfaces dures ou saillantes sont assimilables à des coups portés avec des objets contondants pouvant eux aussi blesser gravement ou tuer, notamment en cas de chocs à la tête. Le comportement de l’appelant, qui a choisi de terrasser un client récalcitrant d’un seul coup dévastateur sur le côté de la tête, au lieu d’opter pour une violence moins extrême et moins dangereuse ou pour une simple discussion, démontre son indifférence et donc son acceptation d’un résultat lésionnel grave le cas échéant. Il ne fait dès lors aucun doute qu’il a, à tout le moins, accepté l’éventualité que le coup porté cause des lésions graves au plaignant. Des lésions corporelles simples intentionnelles en concours idéal avec des lésions corporelles graves par</w:t>
      </w:r>
    </w:p>
    <w:p>
      <w:r>
        <w:t>- 24 - négligence, du type de celles pouvant se produire dans un contexte sportif de contacts caractérisé par une certaine acceptation des risques, ne peuvent ainsi être retenues. L’arrêt du Tribunal fédéral dont se prévaut l’appelant concerne en effet des blessures infligées dans le contexte d’une activité sportive impliquant une prise de risque pour l’intégrité corporelle assumée par les participants, en l’occurrence des joueurs de hockey sur glace. De telles circonstances sont très éloignées de la situation en cause, où l’on ne saurait admettre que la victime, simple fêtard pris dans une altercation à la brutalité inattendue, ait pu consentir tacitement aux lésions corporelles graves qu’il a subies. Compte tenu de ce qui précède, le moyen pris d’un défaut d’intention doit être rejeté.</w:t>
      </w:r>
    </w:p>
    <w:p>
      <w:r>
        <w:rPr>
          <w:b/>
        </w:rPr>
        <w:t>E. 4.4</w:t>
      </w:r>
    </w:p>
    <w:p>
      <w:r>
        <w:t>; TF 6B_1400/2017 du 26 mars 2018 consid. 2.2). Lors de l'appréciation des perspectives d'amendement, le juge doit prendre en considération l'effet dissuasif que la nouvelle peine peut exercer, si elle est exécutée (ATF 134 IV 140 précité consid. 4.4 et 4.5 ; TF 6B_93/2021 précité ; TF 6B_454/2021 précité).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que l'intéressé puisse au besoin la contester utilement (TF 6B_454/2021 précité ; TF 6B_291/2020 du 15 mai 2020 consid. 2.3 ; TF 6B_143/2019 du 6 mars 2019 consid. 2.1).</w:t>
      </w:r>
    </w:p>
    <w:p>
      <w:r>
        <w:rPr>
          <w:b/>
        </w:rPr>
        <w:t>E. 5.1</w:t>
      </w:r>
    </w:p>
    <w:p>
      <w:r>
        <w:t>L’appelant invoque la légitime défense. Il soutient qu’il aurait frappé la victime pour protéger son agent de sécurité au moment où le plaignant amorçait à l’intention de celui-là un geste de frappe du bras gauche et plaide la proportionnalité de son acte de défense. Il fait à tout le moins valoir qu’il aurait agi dans un état d’excitation et de saisissement excusable au sens de l’art. 16 al. 2 CP.</w:t>
      </w:r>
    </w:p>
    <w:p>
      <w:r>
        <w:rPr>
          <w:b/>
        </w:rPr>
        <w:t>E. 5.2.1</w:t>
      </w:r>
    </w:p>
    <w:p>
      <w:r>
        <w:t>Selon l'art. 15 CP, quiconque, de manière contraire au droit, est attaqué ou menacé d'une attaque imminente a le droit de repousser l'attaque par des moyens proportionnés aux circonstances. La légitime défense peut s’exercer pour autrui, indépendamment d’un devoir de garant (ATF 129 IV 6 consid. 3.2, JdT 2005 IV 215 ; Dupuis et al. [éd.], op. cit, n. 18 ad art. 15 CP et les références citées). Elle suppose une attaque, c'est-à-dire un comportement visant à porter atteinte à un bien juridiquement protégé, ou</w:t>
      </w:r>
    </w:p>
    <w:p>
      <w:r>
        <w:t>- 25 -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précité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p. 260), tout en devant permettre d’écarter efficacement le danger (ATF 136 IV 49 précité consid. 4.2 ; ATF 107 IV 12 consid. 3b ; Trechsel/Geth, in : Trechsel/Pieth [éd.], op. cit., n. 10 ad art. 15 CP). Les</w:t>
      </w:r>
    </w:p>
    <w:p>
      <w:r>
        <w:t>- 26 -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 On peut attendre de la part d'un professionnel de la sécurité qu'il soit en mesure de gérer une situation conflictuelle avec un minimum de violence et n'en vienne aux coups qu'en toute dernière extrémité (TF 6B_130/2017 du 27 février 2018 consid. 3.1 ; TF 6B_255/2007 du 11 octobre 2007 consid. 4.2).</w:t>
      </w:r>
    </w:p>
    <w:p>
      <w:r>
        <w:rPr>
          <w:b/>
        </w:rPr>
        <w:t>E. 5.2.2</w:t>
      </w:r>
    </w:p>
    <w:p>
      <w:r>
        <w:t>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précité ; Dupuis et al. [éd.], op. cit., n. 11 ad art. 16 CP). Si l’auteur ne peut pas être mis au bénéfice de l’art. 16 al. 2 CP, cela n’exclut pas une réduction de peine au sens de l’art. 16 al. 1 CP (cf. TF 6B_1015/2014 du 1er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 TF 6B_873/2018 du 15 février 2019 consid. 1.1.3 ; TF 6B_853/2016 du 18 octobre 2017 consid. 2.2.4). C'est l'état d'excitation ou de saisissement qui doit être excusable, non pas l'acte par lequel l'attaque est repoussée. La loi ne précise pas plus avant le degré d'émotion nécessaire. Il ne doit pas forcément atteindre</w:t>
      </w:r>
    </w:p>
    <w:p>
      <w:r>
        <w:t>- 27 - celui d'une émotion violente au sens de l'art. 113 CP, mais doit revêtir une certaine importance. La peur ne signifie pas nécessairement un état de saisissement au sens de l'art. 16 al. 2 CP (TF 6B_922/2018 précité ; TF 6B_1015/2014 précité consid. 3.2 ; TF 6B_889/2013 du 17 février 2014 consid. 3.1). Une simple agitation ou une simple émotion ne suffit pas (TF 6B_922/2018 précité ; TF 6B_853/2016 précité ; TF 6B_810/2011 du 30 août 2012 consid. 5.3.2). Il faut au contraire que l'état d'excitation ou de saisissement auquel était confronté l'auteur à la suite de l'attaque l'ait empêché de réagir de manière pondérée et responsable (TF 6B_922/2018 précité ; TF 6B_971/2018 du 7 novembre 2019 consid. 2.3.4 ; TF 6B_873/2018 précité). La surprise découlant d'une attaque totalement inattendue peut générer un état de saisissement excusable (ATF 101 IV 119 précité ; TF 6B_922/2018 précité ; TF 6B_65/2011 du 8 septembre 2011 consid. 3.2 ; Dupuis et al. [éd.],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 TF 6B_922/2018 précité ; TF 6B_1015/2014 précité).</w:t>
      </w:r>
    </w:p>
    <w:p>
      <w:r>
        <w:rPr>
          <w:b/>
        </w:rPr>
        <w:t>E. 5.3</w:t>
      </w:r>
    </w:p>
    <w:p>
      <w:r>
        <w:t>En l’espèce, l’appelant était confronté à une simple empoignade entre le plaignant et son agent de sécurité, relevant tout au plus des voies de fait, et rien ne permet de retenir que le plaignant s’apprêtait à livrer, contre l’agent de sécurité, une attaque qui allait au- delà de l’empoignade à laquelle il était partie, respectivement que l’appelant pouvait croire qu’il allait le faire. Comme l’a retenu à juste titre le premier juge, si le plaignant a effectivement agité son bras gauche au moment où l’appelant se dirigeait vers lui, ce geste ne pouvait pas être interprété comme la menace d’une attaque plus intense. Il ne ressort du reste pas de la première audition de R.________ – la seconde étant empreinte de complaisance envers son patron – qu’il se serait senti véritablement attaqué, soit que son intégrité physique aurait été</w:t>
      </w:r>
    </w:p>
    <w:p>
      <w:r>
        <w:t>- 28 - sérieusement mise en péril (PV aud. 2, R. 5). Celui-ci n’a d’ailleurs pas fait état de coups qu’il aurait essuyés de la part du plaignant, ni prétendu que celui-ci aurait tenté de le frapper. Si son agent de sécurité faisait l’objet d’une attaque illicite, celle-ci se résumait donc à de simples voies de fait. A cet égard, la lettre de la collaboratrice de l’appelant, produite aux débats d’appel, qui fait état de la violence de l’attaque que subissait l’agent de sécurité, est dénuée de valeur probante dès lors qu’elle a été rédigée en vue des débats par une ancienne subordonnée. Cela étant, contrairement à ce que soutient l’appelant, le moyen choisi pour repousser l’attaque, soit un violent coup de poing porté aussitôt et sans sommation au niveau du menton ou du visage du fêtard importun, est totalement disproportionné au regard des circonstances, et force est de constater qu’une série d’autres moyens moins offensifs aurait pu et dû être mise en œuvre par ce patron de bar expérimenté dans le domaine de la sécurité, soit notamment parlementer, s’interposer, saisir le plaignant par les bras, le ceinturer ou l’immobiliser par une clé. En réagissant si brutalement pour repousser le plaignant, l’appelant a ainsi manifestement excédé les limites de la légitime défense. A l’instar du premier juge et contrairement à ce que soutient l’appelant, on ne saurait retenir que cet excès provienne d’un état excusable d’excitation ou de saisissement. En effet, agent de sécurité expérimenté disant en 2012 qu’il était désormais capable d’éviter l’usage de la violence et affichant calme et détermination sur les images de vidéosurveillance lors de son intervention, l’appelant n’a nullement perdu son contrôle en raison de la petite échauffourée dont il était le témoin entre son agent de sécurité et un client aviné. Ce moyen doit donc être rejeté.</w:t>
      </w:r>
    </w:p>
    <w:p>
      <w:r>
        <w:rPr>
          <w:b/>
        </w:rPr>
        <w:t>E. 6.1</w:t>
      </w:r>
    </w:p>
    <w:p>
      <w:r>
        <w:t>L’appelant, qui conclut à son acquittement, conteste à titre subsidiaire la peine prononcée par le premier juge, auquel il reproche d’avoir « passé sous silence un certain nombre d’éléments à décharge », notamment sa bonne collaboration avec la police, les sincères regrets</w:t>
      </w:r>
    </w:p>
    <w:p>
      <w:r>
        <w:t>- 29 - manifestés et sa forte prise de conscience. Il plaide par ailleurs l’octroi du sursis, faisant valoir que le pronostic ne serait pas défavorable compte tenu de sa prise de conscience et de sa situation personnelle, et conclut ainsi à sa condamnation à une peine pécuniaire avec sursis.</w:t>
      </w:r>
    </w:p>
    <w:p>
      <w:r>
        <w:rPr>
          <w:b/>
        </w:rPr>
        <w:t>E. 6.1.1</w:t>
      </w:r>
    </w:p>
    <w:p>
      <w:r>
        <w:t>et les références citées ; TF 6B_183/2021 du 27 octobre 2021 consid. 1.3).</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L’excès des limites de la légitime défense au sens de l’art. 16 al. 1 CP ne constitue pas un fait justificatif, mais une circonstance diminuant la culpabilité. Le juge atténue la peine en vertu de l’art. 48a CP lorsqu’est notamment réalisée la circonstance atténuante prévue par l’art. 16 al. 1</w:t>
      </w:r>
    </w:p>
    <w:p>
      <w:r>
        <w:t>- 30 - CP. Selon l’art. 48a CP, le juge qui atténue la peine n’est pas lié par le minimum légal de l’infraction (al. 1). Il peut prononcer une peine d’un genre différent de celui qui est prévu pour l’infraction mais il reste lié par le maximum et par le minimum légal de chaque genre de peine (al. 2).</w:t>
      </w:r>
    </w:p>
    <w:p>
      <w:r>
        <w:rPr>
          <w:b/>
        </w:rPr>
        <w:t>E. 6.2.3</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w:t>
      </w:r>
    </w:p>
    <w:p>
      <w:r>
        <w:rPr>
          <w:b/>
        </w:rPr>
        <w:t>E. 6.3.1</w:t>
      </w:r>
    </w:p>
    <w:p>
      <w:r>
        <w:t>A l’instar du Tribunal de police, la Cour de céans retient que la culpabilité de l’appelant est lourde. Celui-ci a en effet causé à la victime des souffrances très importantes et les conséquences dommageables de son acte sur la vie personnelle et professionnelle du plaignant sont</w:t>
      </w:r>
    </w:p>
    <w:p>
      <w:r>
        <w:t>- 31 - désastreuses. Quand bien même il est intervenu alors que son agent de sécurité se débattait avec le plaignant, la violence du coup porté par l’appelant est tellement disproportionnée qu’elle rend son geste particulièrement répréhensible. Par ailleurs, contrairement à ce que soutient l’appelant, sa prise de conscience est défaillante. A cet égard, si celui-ci a certes présenté des excuses à la famille de la victime et s’est enquis de l’évolution de son état de santé, il a persisté jusqu’en appel à nier toute responsabilité dans les graves lésions dont le plaignant a souffert et souffre encore, plaidant son acquittement et concluant à l’absence de toute réparation morale pour sa victime. Il y a en outre lieu de relever qu’il a asséné le coup de poing dévastateur au visage du plaignant moins d’une année après avoir été condamné pour avoir frappé un client de son établissement au visage et l’avoir roué de coups alors qu’il était à terre, ce qui fonde une récidive spéciale. A sa décharge, il y a lieu de prendre en compte le fait qu’il a agi par excès de légitime défense, circonstance qui n’aura toutefois qu’un faible effet atténuant sur sa culpabilité compte tenu de l’ampleur de l’excès. Contrairement à ce que soutient l’appelant, le tribunal de première instance n’a pas méconnu les éléments à décharge qui devaient être pris en compte. En effet, les éléments mis en exergue par l’appelant, à savoir les regrets formulés, sa bonne collaboration à l’enquête et l’atteinte à son avenir causée par la sanction ne sont pas décisifs, respectivement ont déjà été pris en considération par le premier juge dans le cadre de la fixation de la peine, étant précisé que l’effet de la peine sur l’avenir du condamné, en tant qu’élément de prévention spéciale, ne permet que des corrections marginales, la peine devant toujours rester proportionnée à la faute (TF 6B_94/2021 du 29 septembre 2021 consid. 6.3 ; TF 6B_484/2020 du 21 janvier 2021 consid. 10.1 ; TF 6B_289/2020 du 1er décembre 2020 consid. 13.3.1 et les arrêts cités). L’appelant est ainsi reconnu coupable de lésions corporelles graves, infraction passible d’une peine privative de liberté de six mois au moins et de dix ans au plus, le prononcé d’une peine pécuniaire étant exclu depuis l’entrée en vigueur le 1er janvier 2018 de la réforme du droit des sanctions. Quand bien même le prononcé d’une peine d’un genre</w:t>
      </w:r>
    </w:p>
    <w:p>
      <w:r>
        <w:t>- 32 - différent serait envisageable en vertu de l’art. 48a al. 2 CP, c’est à juste titre que le premier juge a considéré que la culpabilité de l’appelant, qui a manifestement pris l’habitude d’affirmer, non sans jouissance, sa supériorité physique en frappant autrui à la tête, imposait, compte tenu de la situation de récidive spéciale dans laquelle il a agi et au vu de sa très relative prise de conscience, le prononcé d’une peine privative de liberté. Quant à sa quotité, la durée de huit mois, qui tient compte des éléments à charge et à décharge susmentionnés, ainsi que de l’atténuation commandée par l’art. 16 al. 1 CP, n’apparaît pas excessive, bien au contraire, et doit être confirmée.</w:t>
      </w:r>
    </w:p>
    <w:p>
      <w:r>
        <w:rPr>
          <w:b/>
        </w:rPr>
        <w:t>E. 6.3.2</w:t>
      </w:r>
    </w:p>
    <w:p>
      <w:r>
        <w:t>S’agissant du sursis, la Cour de céans ne peut que partager l’appréciation du premier juge quant à l’amendement de l’appelant. Il y a en effet lieu de relever que W.________ a été condamné pour des violences similaires moins d’une année avant les faits objets de la présente cause, de sorte qu’il se trouve en état de récidive spéciale. Quand bien même il a déclaré aux débats d’appel ne plus s’occuper de la sécurité de son établissement, qu’il envisagerait même de revendre, il y a lieu de relever qu’il avait déjà déclaré, lors de son audition du 8 février 2012 (P. 26/3), qu’il n’avait plus besoin d’en venir aux mains pour se faire respecter, que les histoires de bagarre ne l’intéressaient plus (R. 21), admettant que les altercations violentes auxquelles il avait été mêlé étaient souvent liées à l’alcool, raison pour laquelle il avait arrêté d’en consommer (R. 3). Or, force est de constater que près de dix ans plus tard, l’appelant n’a pas changé, qu’il a recommencé à consommer de l’alcool dans le cadre de son activité professionnelle – si tant est qu’il ait jamais arrêté – et qu’il a continué à utiliser ses poings pour se faire respecter. Ses précédentes condamnations ne lui ont ainsi aucunement permis de prendre conscience de la gravité de ses actes et ses engagements doivent être considérés avec circonspection. En outre, comme déjà relevé, sa prise de conscience dans le cadre de la présente affaire est, sinon inexistante, à tout le moins très relative, dès lors qu’il continue à nier toute responsabilité dans les graves lésions causées à la victime et qu’il n’a entrepris, deux ans après les faits, aucune démarche active pour réparer le tort extrêmement important qu’il lui a causé. Au regard de ces éléments, il y a lieu de retenir</w:t>
      </w:r>
    </w:p>
    <w:p>
      <w:r>
        <w:t>- 33 - que le pronostic quant à l’amendement de l’appelant est résolument défavorable, de sorte que c’est à juste titre que le sursis lui a été refusé. A cet égard, la Cour de céans ne voit pas en quoi la situation personnelle dont se prévaut l’appelant, soit le fait qu’il soit le père de trois filles, permettrait de renverser l'appréciation effectuée, d'autant qu’il était déjà père de trois enfants lorsqu'il a commis les faits objets de la présente cause, ce qui ne l'a pas empêché de porter un coup d’une violence extrême à la victime, nonobstant le sursis qui lui avait été accordé en 2019. Au vu de ce qui précède, le moyen doit être rejeté et la condamnation de l’appelant à une peine privative de liberté de huit mois ferme confirmée.</w:t>
      </w:r>
    </w:p>
    <w:p>
      <w:r>
        <w:rPr>
          <w:b/>
        </w:rPr>
        <w:t>E. 7.1</w:t>
      </w:r>
    </w:p>
    <w:p>
      <w:r>
        <w:t>L’appelant conteste la révocation du sursis qui lui a été accordé le 30 avril 2019 par le Ministère public de l’arrondissement de Lausanne.</w:t>
      </w:r>
    </w:p>
    <w:p>
      <w:r>
        <w:rPr>
          <w:b/>
        </w:rPr>
        <w:t>E. 7.2</w:t>
      </w:r>
    </w:p>
    <w:p>
      <w:r>
        <w:t>Aux termes de l’art. 46 al. 1, 1re phrase, CP, si, durant le délai d'épreuve, le condamné commet un crime ou un délit et qu'il y a dès lors lieu de prévoir qu'il commettra de nouvelles infractions, le juge révoque le sursis ou le sursis partiel. Selon l'al. 2, 1re phrase, de cette disposition,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6B_93/2021 du 6 octobre 2021 consid. 3.1 ; TF 6B_454/2021 du 4 octobre 2021 consid. 4.1). Par analogie avec l'art. 42 al. 1 et 2 CP, le juge se fonde sur une appréciation globale des circonstances du cas d'espèce pour estimer le risque de récidive (ATF 134 IV 140 précité consid.</w:t>
      </w:r>
    </w:p>
    <w:p>
      <w:r>
        <w:t>- 34 -</w:t>
      </w:r>
    </w:p>
    <w:p>
      <w:r>
        <w:rPr>
          <w:b/>
        </w:rPr>
        <w:t>E. 7.3</w:t>
      </w:r>
    </w:p>
    <w:p>
      <w:r>
        <w:t>En l’espèce, la première condition de la révocation du sursis est réalisée, puisque l’appelant a récidivé pendant le délai d’épreuve. Il s’agit donc d’examiner la seconde condition, à savoir s’il y a lieu de prévoir que l’appelant commette de nouvelles infractions. A cet égard, compte tenu de la propension durable vérifiée de l’appelant à la violence, de son impulsivité, de la non mise en place d’un traitement médical</w:t>
      </w:r>
    </w:p>
    <w:p>
      <w:r>
        <w:t>- 35 - susceptible de modérer ce penchant et de la poursuite de son activité professionnelle dans la vie nocturne, le fait de purger huit mois de détention, le cas échéant en semi-détention, ne suffira pas à réduire significativement le risque de récidive constaté, si bien que la révocation du sursis qui lui a été accordé le 30 avril 2019 par le Ministère public de l’arrondissement de Lausanne doit être confirmée. Ce moyen doit donc être rejeté.</w:t>
      </w:r>
    </w:p>
    <w:p>
      <w:r>
        <w:rPr>
          <w:b/>
        </w:rPr>
        <w:t>E. 8.1</w:t>
      </w:r>
    </w:p>
    <w:p>
      <w:r>
        <w:t>Dans sa déclaration d’appel, W.________ a conclu à ce qu’aucune réparation morale ne soit versée à la partie plaignante. Aux débats d’appel, quand bien même il a confirmé les conclusions prises, il a toutefois admis le principe d’une indemnisation du tort moral de la victime, même du montant alloué, indiquant cependant ne pas en avoir les moyens.</w:t>
      </w:r>
    </w:p>
    <w:p>
      <w:r>
        <w:rPr>
          <w:b/>
        </w:rPr>
        <w:t>E. 8.2</w:t>
      </w:r>
    </w:p>
    <w:p>
      <w:r>
        <w:t>Celui qui subit une atteinte illicite à sa personnalité a droit à une somme d’argent à titre de réparation morale, pour autant que la gravité de l’atteinte le justifie et que l’auteur ne lui ait pas donné satisfaction autrement (art. 49 al. 1 CO [loi fédérale du 30 mars 1911 complétant le Code civil suisse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w:t>
      </w:r>
    </w:p>
    <w:p>
      <w:r>
        <w:t>- 36 - consid. 5.1, SJ 2005 I 152, JdT 2006 I 193 ; ATF 129 IV 22 consid. 7.2, JdT 2006 IV 182 ; TF 6B_486/2015 du 25 mai 2016 consid. 4.1).</w:t>
      </w:r>
    </w:p>
    <w:p>
      <w:r>
        <w:rPr>
          <w:b/>
        </w:rPr>
        <w:t>E. 8.3</w:t>
      </w:r>
    </w:p>
    <w:p>
      <w:r>
        <w:t>Dès lors que la condamnation de l’appelant pour lésions corporelles graves au préjudice de B.________ doit être confirmée, l’octroi d’une indemnité à titre de réparation du tort moral se justifie sur le principe, ce que l’appelant a finalement lui-même admis. En première instance, le Tribunal de police a alloué à la victime un montant de 35'000 fr. avec intérêt à 5 % l’an dès le 8 mars 2020 à ce titre. Aux débats d’appel, la mère de B.________ a indiqué que l’état de santé de son fils n’avait pas évolué, qu’il était toujours lourdement handicapé et qu’il n’était plus la même personne qu’avant. Elle a ajouté qu’il était en réinsertion professionnelle dès lors que son ancienne activité de chef de cuisine lui était désormais interdite, ajoutant que sa vie avait été détruite. Compte tenu de la gravité des atteintes subies et de leurs conséquences sur la victime, objectivées par plusieurs constats médicaux au dossier, c’est à juste titre que le premier juge a considéré qu’il se justifiait d’allouer au plaignant l’indemnité sollicitée de 35'000 fr., qui paraît parfaitement justifiée. Il peut être renvoyé à cet égard à la motivation du jugement attaqué (pp. 32 à 34 ; art. 82 al. 4 CPP), qui est claire et convaincante.</w:t>
      </w:r>
    </w:p>
    <w:p>
      <w:r>
        <w:rPr>
          <w:b/>
        </w:rPr>
        <w:t>E. 9</w:t>
      </w:r>
    </w:p>
    <w:p>
      <w:r>
        <w:t>En définitive, l’appel de W.________ doit être rejeté et le jugement entrepris intégralement confirmé.</w:t>
      </w:r>
    </w:p>
    <w:p>
      <w:r>
        <w:rPr>
          <w:b/>
        </w:rPr>
        <w:t>E. 9.1</w:t>
      </w:r>
    </w:p>
    <w:p>
      <w:r>
        <w:t>Le dispositif du jugement rendu le 19 juillet 2021 par le Tribunal de police, qui omet de mentionner la libération du prévenu du chef de prévention d’omission de prêter secours alors que le premier juge avait étendu l’acte d’accusation à cette infraction aux débats de première instance (cf. jugement, p. 3), sera rectifié d’office à cet égard, s’agissant d’une erreur manifeste (cf. jugement, p. 26 consid. 2.6.2).</w:t>
      </w:r>
    </w:p>
    <w:p>
      <w:r>
        <w:rPr>
          <w:b/>
        </w:rPr>
        <w:t>E. 9.2</w:t>
      </w:r>
    </w:p>
    <w:p>
      <w:r>
        <w:t>La liste des opérations produite par Me Vincent Demierre, conseil juridique gratuit de B.________, fait état de 6 h 15 d’activité</w:t>
      </w:r>
    </w:p>
    <w:p>
      <w:r>
        <w:t>- 37 - d’avocat hors durée de l’audience d’appel. Il n’y a pas lieu de s’écarter de la durée consacrée au mandat alléguée, si ce n’est pour y ajouter 1 h 15 pour les débats d’appel, ainsi qu’une vacation au même titre. Les débours seront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Ainsi, en définitive, une indemnité de conseil juridique gratuit d'un montant de 1'612 fr. 25, correspondant à une activité de 7 h 30 au tarif horaire de 180 fr., par 1’350 fr., à des débours à hauteur de 27 fr., à une vacation à 120 fr. et à la TVA au taux de 7,7 %, par 115 fr. 25, sera allouée à Me Vincent Demierre pour la procédure d’appel. Vu l'issue de la cause, les frais de la procédure d'appel, par 5'392 fr. 25, constitués de l'émolument du présent jugement, par 3’780 fr. (art. 21 al. 1 et 2 TFIP), ainsi que de l’indemnité allouée au conseil juridique gratuit de B.________, par 1'612 fr. 25, seront mis à la charge de l’appelant, qui succombe (art. 428 al. 1 CPP). W.________ sera tenu de rembourser à l’Etat le montant de l’indemnité en faveur du conseil d’office de B.________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