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PE20.004391 vom 31. März 2020</w:t>
      </w:r>
    </w:p>
    <w:p>
      <w:r>
        <w:t>VD Tribunal cantonal, 2020-03-31, FR</w:t>
      </w:r>
    </w:p>
    <w:p>
      <w:r>
        <w:rPr>
          <w:b/>
        </w:rPr>
        <w:t xml:space="preserve">Quelle: </w:t>
      </w:r>
      <w:r>
        <w:t>https://mcp.opencaselaw.ch/entscheid/vd_gerichte_PE20.004391</w:t>
      </w:r>
    </w:p>
    <w:p>
      <w:r>
        <w:t>FR: VD_GERICHTE PE20.004391 du 31 mars 2020</w:t>
      </w:r>
    </w:p>
    <w:p>
      <w:r>
        <w:t>IT: VD_GERICHTE PE20.004391 del 31 marzo 2020</w:t>
      </w:r>
    </w:p>
    <w:p>
      <w:pPr>
        <w:pStyle w:val="Heading2"/>
      </w:pPr>
      <w:r>
        <w:t>Erwägungen</w:t>
      </w:r>
    </w:p>
    <w:p>
      <w:r>
        <w:rPr>
          <w:b/>
        </w:rPr>
        <w:t>E. 5</w:t>
      </w:r>
    </w:p>
    <w:p>
      <w:r>
        <w:t>Le Ministère public a retenu que A.K.________ ne parvenait pas à démontrer son indigence. Il sied dès lors encore d’examiner si la recourante conteste à juste titre ce point de vue.</w:t>
      </w:r>
    </w:p>
    <w:p>
      <w:r>
        <w:rPr>
          <w:b/>
        </w:rPr>
        <w:t>E. 5.1.1</w:t>
      </w:r>
    </w:p>
    <w:p>
      <w:r>
        <w:t>Aux termes de l'art. 29 al. 3 Cst (Constitution fédérale de la Confédération suisse du 18 avril 1999 ; RS 101), toute personne qui ne dispose pas des ressources suffisantes a droit à l'assistance judiciaire gratuite, à moins que sa cause ne paraisse dépourvue de toute chance de succès. L’art. 132 al. 1 let. b CPP codifie la jurisprudence rendue par le Tribunal fédéral avant l'entrée en vigueur du Code de procédure pénale suisse en matière de défense d'office (Harari/Aliberti, op. cit., nn. 60 ss ad art. 132 CPP). L’autorité examinera la situation personnelle du prévenu à l’aide des directives sur le minimum vital établies par les offices de poursuite ou à l’aide d’autres critères. De jurisprudence constante, est considéré comme indigent celui qui ne peut assumer les frais liés à la défense de ses intérêts sans porter atteinte au minimum nécessaire à son entretien ainsi qu’à celui de sa famille (ATF 128 I 225 consid. 2.5.1, JdT 2006 IV 47 ; Harari/Aliberti, op. cit., n. 33 ad art. 132 CPP ; Moreillon/Parein-Reymond, Petit Commentaire du Code de procédure pénale, 2e éd., Bâle 2016, n. 20 ad art. 132 CPP et les références citées ; TPF BH.2012.7/8/9 du 11 décembre 2012, consid. 2.1 ; Moreillon/Dupuis/Mazou, La pratique judiciaire du Tribunal pénal fédéral en 2012, JdT 2013, pp. 124-125, nn. 63-64). L’indigence s’évalue en fonction</w:t>
      </w:r>
    </w:p>
    <w:p>
      <w:r>
        <w:t>- 18 - de l’entière situation économique du requérant au moment du dépôt de sa demande d’assistance judiciaire. Cela comprend d’une part toutes les obligations financières et, d’autre part, ses revenus et sa fortune. Pour définir ce qui est nécessaire pour couvrir les besoins fondamentaux, l’autorité appelée à trancher ne doit pas se baser de façon schématique sur le minimum vital résultant de la législation à la poursuite pour dette et faillite, mais doit prendre en considération les circonstances personnelles du requérant (Moreillon/Parein-Reymond, ibid., et les références citées).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 ATF 135 I 221 consid. 5.1 p. 223 et les arrêts cités ; TF 5A_810/2011 du</w:t>
      </w:r>
    </w:p>
    <w:p>
      <w:r>
        <w:rPr>
          <w:b/>
        </w:rPr>
        <w:t>E. 5.1.2</w:t>
      </w:r>
    </w:p>
    <w:p>
      <w:r>
        <w:t>Le devoir d'assistance et d'entretien des époux comprend non seulement l'entretien stricto sensu, mais encore la satisfaction des besoins non matériels, tels que la protection juridique. La mise à disposition par le conjoint des montants qui lui font défaut pour assurer la défense de ses intérêts personnels par la voie judiciaire fait partie de ce devoir (cf. TF 4A_423/2012 consid. 2.2, applicable également en matière de droit pénal, qui précise que le devoir de l'Etat d'accorder l'assistance judiciaire au plaideur indigent dont la cause ne paraît pas dépourvue de toute chance de succès passe après l'obligation d'assistance et d'entretien prévue par le droit de la famille).</w:t>
      </w:r>
    </w:p>
    <w:p>
      <w:r>
        <w:rPr>
          <w:b/>
        </w:rPr>
        <w:t>E. 5.2</w:t>
      </w:r>
    </w:p>
    <w:p>
      <w:r>
        <w:t>Dans son recours A.K.________ se contente d’exposer de façon péremptoire qu’il ne serait pas possible de tenir compte des revenus de son mari pour déterminer la mesure de sa capacité à rémunérer son propre avocat, parce que celui-ci est lui-même prévenu dans la même affaire et qu’ils se trouvent potentiellement en situation de conflit d’intérêts.</w:t>
      </w:r>
    </w:p>
    <w:p>
      <w:r>
        <w:t>- 19 - On ne voit pas en quoi les conditions d’existence du couple formé par la recourante avec son mari, co-prévenu, seraient de nature à influer sur un potentiel conflit d’intérêts entre eux, dès lors que le mari dispose d’un défenseur distinct et, surtout, que la procureure a divisé par deux le disponible du couple ─ ce qui est conforme à la jurisprudence rendue en la matière (cf. consid. 5.1.2 supra) ─ de sorte que chacun d’eux dispose du même montant, tout à fait suffisant pour assurer le paiement des honoraires d’un, respectivement de deux conseils de choix. En tant que la recourante ne remet pas en cause le calcul de son minimum vital, respectivement de son disponible, il n’y a dès lors en principe pas lieu d’examiner plus avant ce grief. En tout état de cause, la Cour de céans fait siens les calculs du Ministère public exposés en page 4 ci-dessus, dont il ressort que la recourante ne peut pas faire la démonstration de son indigence et ne remplit ainsi pas les conditions posées par l'art. 132 al. 1 let. b CPP pour que Me Jeton Kryeziu lui soit désormais désigné comme défenseur d'office. 6. 6.1 Au vu de ce qui précède, le recours, manifestement mal fondé, doit être rejeté sans échange d’écritures (art. 390 al. 2 CPP) et l’ordonnance attaquée confirmée. 6.2 La requête de désignation d’un défenseur d’office présentée par la recourante pour la procédure de recours doit également être rejetée, le recours étant d’emblée dénué de chances de succès (CREP 22 mars 2019/219 consid. 3 et les références citées). 6.3 Les frais de la procédure de recours, constitués en l'espèce du seul émolument d’arrêt, par 1'980 fr. (art. 20 al. 1 TFIP [Tarif des frais de procédure et indemnités en matière pénale du 28 septembre 2010; BLV 312.03.1]), seront mis à la charge de la recourante qui succombe (art. 428 al. 1 CPP).</w:t>
      </w:r>
    </w:p>
    <w:p>
      <w:r>
        <w:t>- 20 - Par ces motifs, la Chambre des recours pénale prononce : I. Le recours est rejeté. II. L'ordonnance du 11 février 2020 est confirmée. III. La requête de désignation d'un défenseur d'office pour la procédure de recours est rejetée. IV. Les frais d'arrêt, par 1’980 fr. (mille neuf cent huitante francs), sont mis à la charge de A.K.________. V. L’arrêt est exécutoire. Le président : La greffière : Du Le présent arrêt, dont la rédaction a été approuvée à huis clos, est notifié, par l'envoi d'une copie complète, à : - Me Jeton Kryeziu, avocat (pour A.K.________), - Ministère public central, et communiqué à : - Ministère public central division affaires spéciales, - Service de la population, secteur E ([…]), par l’envoi de photocopies.</w:t>
      </w:r>
    </w:p>
    <w:p>
      <w:r>
        <w:t>- 21 -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février 2012 consid. 2.3; CREP 14 février 2019/122 consid. 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