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PE20.004044 vom 29. September 2021</w:t>
      </w:r>
    </w:p>
    <w:p>
      <w:r>
        <w:t>VD Tribunal cantonal, 2021-09-29, FR</w:t>
      </w:r>
    </w:p>
    <w:p>
      <w:r>
        <w:rPr>
          <w:b/>
        </w:rPr>
        <w:t xml:space="preserve">Quelle: </w:t>
      </w:r>
      <w:r>
        <w:t>https://mcp.opencaselaw.ch/entscheid/vd_gerichte_PE20.004044</w:t>
      </w:r>
    </w:p>
    <w:p>
      <w:r>
        <w:t>FR: VD_GERICHTE PE20.004044 du 29 septembre 2021</w:t>
      </w:r>
    </w:p>
    <w:p>
      <w:r>
        <w:t>IT: VD_GERICHTE PE20.004044 del 29 settembre 2021</w:t>
      </w:r>
    </w:p>
    <w:p>
      <w:pPr>
        <w:pStyle w:val="Heading2"/>
      </w:pPr>
      <w:r>
        <w:t>Erwägungen</w:t>
      </w:r>
    </w:p>
    <w:p>
      <w:r>
        <w:rPr>
          <w:b/>
        </w:rPr>
        <w:t>E. 29</w:t>
      </w:r>
    </w:p>
    <w:p>
      <w:r>
        <w:t>octobre 2019 consid. 3.1 ; Keller, in : Donatsch/Lieber/ Summers/Wohlers [éd.], Zürcher Kommentar, Kommentar zur Schweizerischen Strafprozessordnung, 3e éd. Zurich 2020, n. 14 ad art. 396 StPO et les réf. cit. ; Calame, in : Jeanneret et al. [éd.], Commentaire romand, Code de procédure pénale suisse, 2e éd., Bâle 2019, n. 21 ad art. 385 CPP ; Guidon, in : Niggli/Heer/ Wiprächtiger [éd.], Basler Kommentar, Schweizerische Strafprozessordnung, Jugendstrafprozessordnung, 2e éd., Bâle 2014 n. 9c ad art. 396 StPO et réf. cit.). En l’espèce, le recourant déclare souhaiter faire recours contre l’ordonnance dans son entier, mais ne développe pas de motivation en relation avec les infractions contre l’honneur qu’il reprochait aux policiers H.________, C.________ et V.________ d’avoir commises lors de leur audition du 2 mars 2021. Sa seule motivation a trait au fait que « les policiers ont</w:t>
      </w:r>
    </w:p>
    <w:p>
      <w:r>
        <w:t>- 8 - fait preuve de violence gratuite et ont très largement dépassé les limites de la loi ». Il faut en déduire que son recours n’est pas suffisamment motivé, au regard des exigences des art. 385 al. 1 et 396 al. 1 CPP et de la jurisprudence du Tribunal fédéral y relative, rappelée ci-dessus, en tant qu’il concerne les infractions contre l’honneur. Sur ce point, le recours est irrecevable et l’ordonnance attaquée doit être maintenue. 2. Le recourant requiert son audition par la Chambre des recours pénale. 2.1 Aux termes de l’art. 397 al. 1 CPP, le recours fait l’objet d’une procédure écrite. Cette procédure n’est pas publique (art. 69 al. 3 let. c CPP). Si le recours n’est pas manifestement irrecevable ou mal fondé, la direction de la procédure notifie le mémoire de recours aux autres parties et à l’autorité inférieure pour qu’ils se prononcent (art. 390 al. 2 CPP). La décision est rendue par voie de circulation ou lors d’une délibération non publique (art. 390 al. 4 CPP). L’autorité de recours peut toutefois, en vertu de l’art. 390 al. 5 CPP, ordonner des débats, d’office ou à la demande d’une partie. Une telle démarche doit toutefois demeurer exceptionnelle dans le cadre du recours (TF 1B_332/2019 du 24 juillet 2019 consid. 3.1 et les réf. cit. ; Message du 21 décembre 2005 relatif à l’unification du droit de la procédure pénale, FF 2006 p. 1297 ch. 2.9.2 ; TF 6B_803/2016 du 20 juillet 2017 consid. 1.2). 2.2 En l’espèce, dans la mesure où la procédure de recours est en principe écrite et que le recourant a pu faire valoir ses arguments dans son recours, son droit d’être entendu a été respecté. Le recourant ne précise du reste pas pour quels motifs la situation justifierait de faire une exception au principe. De toute manière, son audition n’est pas nécessaire au traitement du présent recours. Sa requête doit dès lors être rejetée. 3. 3.1 Le recourant invoque que les policiers mentent pour se couvrir les uns les autres, que la violence dont ils ont fait preuve est disproportionnée alors qu’il n’a pas été violent à leur égard, qu’il a été</w:t>
      </w:r>
    </w:p>
    <w:p>
      <w:r>
        <w:t>- 9 - privé d’un avocat, qu’il a été placé sur un lit de contention sans raison, qu’il n’a pas pu boire ni aller aux toilettes et qu’il ne s’est jamais tapé la tête contre les vitres et/ou murs. Des blessures lui ont été occasionnées par les policiers, attestées par constat médical. 3.2 3.2.1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et art. 2 al. 2 CPP ; ATF 138 IV 86 consid. 4.2 ; TF 6B_79/2021 du 4 avril 2022 consid. 2.2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 ATF 138 IV 86 consid. 4.2 ; ATF 137 IV 285 consid. 2.3 et les références, JdT 2012 IV 160). En revanche, le Ministère public doit pouvoir rendre une ordonnance de non-entrée en matière dans les cas où il apparaît d’emblée qu’aucun acte d’enquête ne pourra apporter la preuve d’une infraction à la charge</w:t>
      </w:r>
    </w:p>
    <w:p>
      <w:r>
        <w:t>- 10 - d’une personne déterminée (TF 6B_541/2017 du 20 décembre 2017 consid. 2.2). D’après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6B_290/2020 du 17 juillet 2020 consid. 2.2 ; TF 6B_810/2019 du 22 juillet 2019 consid. 2.1 ; TF 6B_239/2019 du 24 avril 2019 consid. 2.1 ; TF 6B_1096/2018 du 25 janvier 2019 consid. 2.2). L'instruction pénale est considérée comme tacitement ouverte dès que le Ministère public commence à s'occuper de l'affaire, et en tous les cas lorsqu’il ordonne des mesures de contrainte (CREP 25 juin 2021/577 consid. 2.2). Dès lors qu'un mandat de comparution à une audition du Ministère public est une mesure de contrainte, celui-ci suffit à l'ouverture de l'instruction (ATF 141 IV 20 consid. 1.1.4 ; TF 6B_290/2020 précité). Dès que l’instruction est ouverte, le Ministère public ne peut plus rendre une ordonnance de non-entrée en matière (TF 6B_1100/2020 du 16 décembre 2021 consid. 2.1 et les réf. cit.). 3.2.2 Aux termes de l'art. 123 ch. 1 CP, celui qui, intentionnellement, aura fait subir à une personne une autre atteinte à l'intégrité corporelle ou à la santé sera, sur plainte, puni d'une peine privative de liberté de trois ans au plus ou d'une peine pécuniaire. L'art. 126 CP prévoit que celui qui se sera livré sur une personne à des voies de fait qui n’auront causé ni lésion corporelle ni atteinte à la santé sera, sur plainte, puni d’une amende. La distinction entre lésions corporelles et voies de fait peut s'avérer délicate, notamment lorsque l'atteinte s'est limitée à des meurtrissures, des écorchures, des griffures ou des contusions. La question peut parfois être résolue de manière satisfaisante par</w:t>
      </w:r>
    </w:p>
    <w:p>
      <w:r>
        <w:t>- 11 - l'application de l'art. 123 ch. 1 al. 2 CP, qui permet une atténuation libre de la peine dans les cas de peu de gravité (ATF 134 IV 189 consid. 1.3). 3.2.3 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JdT 2003 IV 117) ; l'abus est également réalisé lorsque l'auteur poursuit un but légitime mais recourt, pour l'atteindre, à des moyens disproportionnés (ATF 127 IV 209 précité consid. 1a/aa et b ; ATF 113 IV 29 consid. 1 ;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6B_1351/2017 du 18 avril 2018 consid. 4.2 ; TF 6B_185/2016 du 30 novembre 2016 consid. 4.1.1). Le motif pour lequel l’auteur agit est ainsi sans pertinence sur l’intention, mais a trait à l’examen de la culpabilité (TF 6B_1085/2017 du 28 mai 2018 consid. 3.4 et les réf. cit.). L’infraction d’abus d’autorité peut entrer en concours avec les infractions des art. 122 ss CP lorsque l’auteur porte atteinte à l’intégrité corporelle d’autrui (Dupuis et al., Petit commentaire du Code pénal, 2e éd., Bâle 2017, n. 27 ad art. 312 CP et les réf. cit.). 3.2.4 D’après l’art. 14 CP, quiconque agit comme la loi l’ordonne ou l’autorise se comporte de manière licite, même si l’acte est punissable en vertu du présent code ou d’une autre loi. A teneur de l’art. 200 CPP, la force ne peut être utilisée qu’en dernier recours pour exécuter les mesures de contrainte ; l’intervention doit être conforme au principe de la proportionnalité. L'art. 24 de la loi vaudoise sur la police cantonale (LPol ;</w:t>
      </w:r>
    </w:p>
    <w:p>
      <w:r>
        <w:t>- 12 - BLV 133.11) interdit au fonctionnaire de police de faire subir à quiconque un outrage ou des mauvais traitements, mais prévoit que la police peut, pour l'accomplissement de son service, utiliser la force, dans une mesure proportionnée aux circonstances, lorsqu'il n'existe pas d'autre moyen d'agir. Même autorisé par la loi, l'acte commis dans l'accomplissement d'un devoir de fonction doit être proportionné à son but. Pour respecter la proportionnalité, il faut pondérer les valeurs qui entrent en considération : d'une part, la fin poursuivie par l'agent, d'autre part, les moyens employés pour les réaliser (ATF 107 IV 84 consid. 4a). Pour être conforme au principe de la proportionnalité visé par les art. 5 al. 2 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 ATF 140 I 218 consid. 6.7.1 ; ATF 140 I 381 consid. 4.5 ; ATF 137 I 167 consid. 3.6 ; TF 6B_1085/2017 du 28 mai 2018 consid. 3.3 ; CREP 8 juillet 2019/519 consid. 2.3). 3.3 En l’espèce, les conditions pour prononcer à ce stade une ordonnance de non-entrée en matière ne sont pas remplies, pour plusieurs motifs. 3.3.1 En premier lieu, le Procureur a dépassé le stade des premières investigations et a usé des prérogatives qui sont siennes en sa qualité de direction de la procédure. Ainsi, à réception de la plainte du recourant, il n’a pas mandaté la police pour des investigations préliminaires, mais a procédé lui-même à des actes d’instruction. Dans un premier temps, il a certes demandé à la Police [...] d’identifier les policiers en cause. Mais, par la suite, il a décidé d’entendre lui-même trois des policiers, et a délivré à cette fin des mandats de comparution. Dans ces conditions, et au vu de la jurisprudence exposée plus haut (cf. consid. 3.2.1), le Procureur ne pouvait</w:t>
      </w:r>
    </w:p>
    <w:p>
      <w:r>
        <w:t>- 13 - dès lors plus rendre une ordonnance de non-entrée en matière, mais une ordonnance de classement tout au plus. 3.3.2 Le Procureur s’est uniquement fondé sur les faits tels qu’ils ressortent des rapports de police des 31 mars 2020 et 21 novembre 2020, ainsi que des auditions des trois policiers du 2 mars 2021, avant de rendre son ordonnance. Or, la présente affaire n’est pas claire tant du point de vue des faits que du droit, de telle sorte qu’une enquête se justifie. En particulier la question d’un usage mesuré, respectivement proportionné, de la force par la police à l’encontre du recourant n’est pas d’emblée résolue et nécessite des éclaircissements. Certes, le recourant a admis avoir conduit un véhicule automobile en état d’ébriété et sans permis de conduire, s’être identifié au moyen du permis de conduire d’un tiers et avoir été en possession de cinq couteaux dans son véhicule ; il s’est en outre excusé des insultes qu’il avait proférées à l’encontre des policiers lors de son interpellation et il a concédé s’être débattu et s’être opposé à sa fouille ainsi qu’à son placement en box de maintien, tout en insultant de nouveau les agents (cf. PV aud. 1, PV aud 6). Il invoque toutefois que les circonstances de l’espèce ne justifiaient pas un tel recours à la force de la part des policiers et que leurs actions exagérées lui ont causé des blessures, notamment du fait qu’il avait subi plusieurs clés de bras alors qu’il était menotté. Il conteste aussi s’être tapé la tête contre les vitres et les murs, arguant qu’aucune lésion n’avait été constatée sur cette partie du corps, ce qui accréditerait sa thèse (P. 11, 12 et 18). Il ressort à cet égard des rapports de police des 31 mars 2020 et 21 novembre 2020 ainsi que des déclarations des trois policiers entendus par le Ministère public le 2 mars 2021 qu’une patrouille avait été sollicitée en raison de la conduite hésitante du recourant. Sans être agressif ou violent physiquement, le recourant avait résisté passivement aux policiers malgré leurs diverses demandes. Il était dans un état agité, tenait des propos incohérents et il y avait odeur d’alcool dans la voiture. Les policiers avaient en outre constaté que le recourant détenait des</w:t>
      </w:r>
    </w:p>
    <w:p>
      <w:r>
        <w:t>- 14 - couteaux, dont l’un était ouvert sur le siège avant passager. Ces faits avaient conduit les policiers à procéder à l’appréhension du recourant, avec contrainte. A l’hôtel de police, le recourant avait continué de résister passivement puis il s’était montré très oppositionnel face aux policiers concernant sa fouille complète et sa mise en cellule, de sorte que les agents avaient encore dû faire usage de la force pour procéder à ces opérations. Comme le recourant adoptait un comportement dangereux pour lui-même (il se tapait la tête contre les vitres et murs et se jetait par terre), les policiers avaient décidé de l’attacher sur un lit de contention (P. 6 et 14). Les policiers auditionnés ont contesté la version des faits du recourant. H.________ a notamment expliqué que l’usage de la force avait été nécessaire face à la résistance passive de N.________, de sorte que « pour éviter d’utiliser des clés de bras pour le conduire au box de maintien, ils l’avaient porté » ; pour le mettre sur le lit de contention, ils étaient intervenus à plusieurs, « chacun s’occupant d’une partie spécifique du corps » (PV aud 7). C.________ a déclaré que lors de la fouille complète, à trois reprises au moins, ils avaient dû contenir physiquement le recourant qui « avait commencé à se taper la tête et à venir vers [eux] » ; il a contesté qu’une prise de cou ait été faite lors de la fouille expliquant que « le seul moment, c’est lorsqu’il [ndr : le recourant] a refusé d’enlever les vêtements du bas du corps, où personnellement je l’ai maintenu au niveau du bras droit, étant précisé qu’un de ses bras était menotté au banc du local de fouille. Mon autre collègue se trouvait en face de moi en lui maintenant le bras. Un troisième collègue a simplement mis la paume contre sa tête qu’il maintenait contre le mur afin que le collègue puisse effectuer la fouille du bas » (PV aud. 7). Quant à V.________, il a déclaré qu’il n’avait pas le souvenir qu’un des collègues ait fait une clé de bras au cou du recourant mais qu’ils avaient dû le maintenir physiquement et comme il était « toujours extrêmement virulent », ils l’avaient mis sur un lit de contention. Il a ajouté que l’intervention à l’encontre du recourant « était exceptionnelle d’autant plus que l’on a découvert des couteaux lors de la fouille du véhicule », précisant « qu’il y avait une certaine tension</w:t>
      </w:r>
    </w:p>
    <w:p>
      <w:r>
        <w:t>- 15 - liée à notre propre sécurité, mais également à l’attitude oppositionnelle et vindicative du recourant » (PV aud. 9). Cela étant, le recourant a d’emblée signalé avoir été blessé par les policiers, lors de son audition le 4 mars 2020 (cf. PV aud 1 question 17). Le certificat médical du 28 avril 2020 produit à l’appui de la plainte du recourant pose les diagnostics de « contusions multiples, contusion du coude droit, contusion de l’épaules (sic) droite, état de choc post- traumatique » (P. 12). Ce document comporte une inexactitude en ce sens qu’il indique que le recourant a été examiné le « 04.02.2020 » alors que les faits litigieux se sont déroulés les 3-4 mars 2020 ; il mentionne également une consultation le 9 mars 2020 au Centre universitaire romand de médecine légale (CURML), une IRM de l’épaule droite, une radiographie de la colonne cervicale, et une échographie du coude gauche du 13 mars 2020 réalisés par le Centre d’imagerie de Morges, soit la semaine suivant les faits litigieux. Ces blessures apparaissent compatibles avec les déclarations des agents et du recourant s’agissant de l’usage de la force par les policiers dans le cadre de l’intervention en cause. Les rapports médicaux manquent toutefois au dossier et on ignore aussi quand le recourant a consulté le Dr [...]. Il est incontesté que les policiers sont intervenus physiquement, à plusieurs reprises, à l'égard du recourant qui était dans un état d’ébriété très avancé. Par ailleurs, il semble aussi établi que le recourant était oppositionnel, mais qu’il n’a fait preuve d’aucune agressivité autre que verbale envers les agents. Dans ces circonstances, si l’usage de la contrainte paraît admissible au vu de l’état physique et psychique du recourant, il y a toutefois lieu de vérifier encore si celle-ci était proportionnée compte tenu notamment du certificat médical au dossier. Or, en l’état, il n’est pas possible de retenir que tel ait été le cas en l’absence d’une enquête plus complète. Ainsi, les infractions d’abus d’autorité, de lésions corporelles simples ou de voies de fait dénoncées par le recourant ne peuvent pas</w:t>
      </w:r>
    </w:p>
    <w:p>
      <w:r>
        <w:t>- 16 - être exclues à ce stade, l’application de l’art. 14 CP devant aussi faire l’objet d’une appréciation juridique détaillée, après instruction. 3.3.3 S’agissant des mesures d’instruction à mettre en œuvre, il convient de relever que l’état oppositionnel du recourant serait encore attesté par le fait que le médecin de garde avait refusé de procéder à l’examen médical et à la prise d’urine « au vu de l’attitude de ce dernier » tel que l’ont indiqué les policiers. Toutefois, le rapport de ce praticien ne figure pas au dossier. Or, ce médecin pourrait apporter un éclairage sur le déroulement des faits du 3 mars 2020 et les constats faits sur le recourant. En outre, deux des cinq policiers intervenus à l’encontre du recourant n’ont pas été auditionnés, quand bien même leurs déclarations pourraient être pertinentes, à l’instar également de l’audition de l’officier de service – le major [...] – qui aurait été avisé par H.________ de la mesure de contention. Enfin, il est probable qu’une partie des faits – s’agissant de la mise en box de maintien – avait fait l’objet à l’époque d’une vidéosurveillance, ce qu’il y a lieu de vérifier. 3.3.4 Au vu de ce qui précède, le Ministère public ne pouvait en définitive pas, sans autre instruction, s’en tenir à la version des trois agents de police et considérer que les éléments constitutifs des infractions n’étaient manifestement pas réunis, ni qu’il n’y avait pas matière à investigations et qu’il pouvait rendre une ordonnance de non-entrée en matière sans violer le principe in dubio pro duriore et le droit du recourant à une enquête effective, compte tenu des blessures subies. Il convient donc de lui renvoyer le dossier de la cause pour ouverture d’une instruction. Dans ce cadre, il appartiendra au Ministère public de procéder aux mesures d’instruction complémentaires utiles. En particulier, il conviendra d’une part de procéder à l’audition de l’officier de service et à celle du médecin de garde, et d’autre part de faire verser au dossier les rapports médicaux du CURML des 9 et 13 mars 2020 ainsi que les images de vidéosurveillance de la détention du recourant, pour autant que celles- ci soient encore disponibles.</w:t>
      </w:r>
    </w:p>
    <w:p>
      <w:r>
        <w:t>- 17 - 4. En définitive, le recours doit être admis dans la mesure où il est recevable, l’ordonnance entreprise annulée en tant qu’elle concerne les infractions d’abus d’autorité et de lésions corporelles simples, subsidiairement de voies de fait, et maintenue s’agissant des infractions contre l’honneur (cf. consid. 1.2 supra). Le dossier de la cause sera renvoyé au Ministère public pour qu’il ouvre formellement une enquête et procède dans le sens des considérants. Vu l’admission du recours, les frais de la procédure, constitués en l’espèce du seul émolument d'arrêt, par 1'650 fr. (art. 20 al. 1 TFIP [Tarif des frais de procédure et indemnités en matière pénale du 28 septembre 2010 ; BLV 312.03.1]), seront laissés à la charge de l’Etat (art. 428 al. 4 CPP). Par ces motifs, la Chambre des recours pénale prononce : I. Le recours est admis dans la mesure où il est recevable. II. L’ordonnance du 24 juin 2021 est annulée en tant qu’elle porte sur les infractions d’abus d’autorité et de lésions corporelles simples, subsidiairement de voies de fait. L’ordonnance est maintenue pour le surplus. III. Le dossier de la cause est renvoyé au Ministère public de l'arrondissement de La Côte pour qu'il procède dans le sens des considérants. IV. Les frais d’arrêt, par 1'650 fr. (mille six cent cinquante francs), sont laissés à la charge d’Etat. V. L’arrêt est exécutoire. Le président : Le greffier :</w:t>
      </w:r>
    </w:p>
    <w:p>
      <w:r>
        <w:t>- 18 - Du Le présent arrêt, dont la rédaction a été approuvée à huis clos, est notifié, par l'envoi d'une copie complète, à : - M. N.________,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