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PE20.003953 vom 24. Februar 2023</w:t>
      </w:r>
    </w:p>
    <w:p>
      <w:r>
        <w:t>VD Tribunal cantonal, 2023-02-24, FR</w:t>
      </w:r>
    </w:p>
    <w:p>
      <w:r>
        <w:rPr>
          <w:b/>
        </w:rPr>
        <w:t xml:space="preserve">Quelle: </w:t>
      </w:r>
      <w:r>
        <w:t>https://mcp.opencaselaw.ch/entscheid/vd_gerichte_PE20.003953</w:t>
      </w:r>
    </w:p>
    <w:p>
      <w:r>
        <w:t>FR: VD_GERICHTE PE20.003953 du 24 février 2023</w:t>
      </w:r>
    </w:p>
    <w:p>
      <w:r>
        <w:t>IT: VD_GERICHTE PE20.003953 del 24 febbraio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de D.________ est recevable.</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- 10 -</w:t>
      </w:r>
    </w:p>
    <w:p>
      <w:r>
        <w:rPr>
          <w:b/>
        </w:rPr>
        <w:t>E. 2.1</w:t>
      </w:r>
    </w:p>
    <w:p>
      <w:r>
        <w:t>La recourante reproche au Ministère public d’avoir violé l’art. 310 CPP, au motif que l’infraction d’escroquerie ne peut pas être écartée en l’état de l’instruction. Elle ne conteste pas que J.________ a versé de l’argent et payé des factures sur la base des contrats de prêt, mais elle plaide que ces sommes ont surtout permis à son ex-compagnon de bénéficier d’un confort qui ne profitait qu’à lui. Il en irait ainsi notamment de travaux de peinture, d’installations électriques et de téléphonie dans des parties de la demeure dédiées à son ex-compagnon ainsi que d’objets</w:t>
      </w:r>
    </w:p>
    <w:p>
      <w:r>
        <w:t>- 8 - mobiliers acquis à l’occasion de l’emménagement de celui-ci chez la recourante. Elle soutient également que des dépenses, comme celles liées au jardin, étaient totalement exagérées au vu de sa situation financière difficile et qu’elle n’aurait jamais effectué d’elle-même de telles dépenses. Elle ajoute que J.________, qui tenait la comptabilité, a emporté les pièces comptables. En résumé, les prêts octroyés par ce dernier à la recourante n’auraient visé qu’à assurer son propre train de vie, alors même qu’elle souffrait d’une sévère dépression. Elle aurait renoncé à la vente de son bien immobilier uniquement en raison de l’intervention de son ex- compagnon, alors qu’elle faisait déjà l’objet de poursuites et ne pouvait plus faire face aux dépenses engendrées par la propriété. Pour conclure, la recourante soutient que l’astuce de J.________ était de se faire financer son train de vie par les prêts garantis par les cédules hypothécaires, obtenant en plus un domicile qui lui permettait de bénéficier d’un forfait fiscal, tout en dressant une comptabilité qui l’arrangeait. Elle allègue encore que l’élément subjectif de l’infraction n’a pas été examiné par le Ministère public, de sorte qu’il n’est pas possible d’exclure une infraction sous la forme d’une tentative. La recourante reproche ensuite au Ministère public une violation de l’art. 310 CPP également en lien avec l’infraction d’usure. Elle soutient que le taux d’intérêt de 5 % habituellement prévu dans les affaires doit être relativisé puisqu’il s’agissait de prêts entre concubins et que son ex-compagnon devait savoir qu’elle ne pourrait pas les rembourser compte tenu de sa situation obérée. Elle plaide également que l’argent prêté était utilisé pour J.________. Concernant l’infraction d’appropriation illégitime, elle invoque une violation du principe in dubio pro duriore, en soutenant qu’il n’est pas manifeste que les éléments constitutifs d’une infraction ne seraient pas réalisés. Enfin, il y lieu, selon elle, d’investiguer si d’autres infractions ont été réalisées puisque la plainte pénale n’était pas limitée aux infractions précitées.</w:t>
      </w:r>
    </w:p>
    <w:p>
      <w:r>
        <w:t>- 9 -</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w:t>
      </w:r>
    </w:p>
    <w:p>
      <w:r>
        <w:t>- 11 - JdT 2017 IV 75 ; ATF 135 IV 76 précité consid. 5.2 ; TF 6B_346/2020 du 21 juillet 2020 consid. 1.2 ; TF 6B_446/2018 du 17 juillet 2018 consid. 2.1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2.2.3</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6B_875/2020 et 6B_1006/2020 du 15 avril 2021 consid. 4.1 et les réf. citées ; TF 6B_649/2020 du 2 octobre 2020 consid. 2.1).</w:t>
      </w:r>
    </w:p>
    <w:p>
      <w:r>
        <w:t>- 12 - L'avantage pécuniaire obtenu doit être en disproportion évidente, sur le plan économique, avec la prestation fournie. Elle doit être évaluée de manière objective (ATF 130 IV 106 consid. 7.2 p. 109). Le rapport entre la prestation et la contre-prestation se mesure dans le cas normal selon le prix ou la rémunération usuels pour des choses ou des services de même espèce (ATF 93 IV 85 consid. 2 p. 87 s.; ATF 92 IV 132 consid. 1 p. 134 ; plus récemment : TF 6B_875/2020 et 6B_1006/2020 précité, ibid. ; TF 6B_301/2020 du 28 avril 2020 consid. 1.1.4 ; TF 6B_707/2016 du 16 octobre 2017 consid. 2).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(TF 6B_1076/2014 du 7 octobre 2015 consid. 2.5).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 106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Les infractions en droit suisse, vol. I, 3e éd., 2010, n. 23 ad art. 157 CP). L'infraction d’usure est intentionnelle, mais le dol éventuel suffit (Corboz, op. cit., nn. 45-48 ad art. 157 CP).</w:t>
      </w:r>
    </w:p>
    <w:p>
      <w:r>
        <w:rPr>
          <w:b/>
        </w:rPr>
        <w:t>E. 2.2.4</w:t>
      </w:r>
    </w:p>
    <w:p>
      <w:r>
        <w:t>Aux termes de l'art. 137 ch. 1 CP (Code pénal suisse du 21 décembre 1937 ; RS 311.0), se rend coupable d’appropriation illégitime celui qui, pour se procurer ou procurer à un tiers un enrichissement illégitime, se sera approprié une chose mobilière appartenant à autrui, en</w:t>
      </w:r>
    </w:p>
    <w:p>
      <w:r>
        <w:t>- 13 - tant que les conditions prévues aux art. 138 à 140 CP ne seront pas réalisées. Le comportement punissable consiste à s'approprier sans droit une chose mobilière appartenant à autrui (Corboz, op. cit., n. 8 ad art. 137 CP).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118 IV 148 consid. 2a, JdT 1994 IV 105).</w:t>
      </w:r>
    </w:p>
    <w:p>
      <w:r>
        <w:rPr>
          <w:b/>
        </w:rPr>
        <w:t>E. 2.3.1</w:t>
      </w:r>
    </w:p>
    <w:p>
      <w:r>
        <w:t>Concernant tout d’abord l’infraction d’escroquerie, les allégations de la recourante ne suffisent pas à remettre en cause les considérations dûment motivées du Ministère public. Selon les documents versés au dossier, les parties ont conclu des prêts garantis par des cédules hypothécaires d’un montant équivalent aux sommes prêtées et il ne fait aucun doute que J.________ a versé les montants visés par les prêts, conformément à l’affectation prévue entre les parties, dont une grande partie a servi à maintenir et à valoriser la propriété de la recourante. Par ailleurs, au vu de sa formation et de sa position en qualité de directrice et administratrice d’une société de conseils financiers notamment, celle-ci ne pouvait pas ignorer la portée des documents signés et l’utilisation de l’argent prêté. Le fait qu’elle ait souffert d’une dépression entre mai 2010 et mars 2012 ne change rien à cet état de fait, la recourante n’apportant pas le moindre élément permettant de rendre vraisemblable que ses capacités cognitives auraient été limitées en raison de son état psychique à la date des faits litigieux, d’autant moins que les conventions de prêt ont été conclues en septembre 2012 et avril 2013, même si la première datait du 18 novembre 2021. Par ailleurs, son avocat était au courant à tout le</w:t>
      </w:r>
    </w:p>
    <w:p>
      <w:r>
        <w:t>- 14 - moins des deux premiers contrats de prêt. C’est ainsi à juste titre que la procureure a retenu en particulier l’absence de tromperie astucieuse de la part de J.________ ou de dommage pour la recourante. La recourante ne peut pas être suivie lorsqu’elle reproche au Ministère public de ne pas avoir investigué la question de savoir à qui profitaient réellement les dépenses effectuées dans sa propriété. Le fait que J.________, voire des tiers, aient pu bénéficier des installations de la demeure de la recourante lorsqu’ils y résidaient ou que la recourante ait entrepris certains travaux pour faire plaisir à son ex-compagnon, ne change rien au fait que ces dépenses, qui ont permis d’entretenir et de valoriser la propriété, profitaient à la recourante. Certaines dépenses importantes, y compris des dépenses liées à l’entretien du jardin, portaient au demeurant sur des travaux entrepris par la recourante antérieurement à sa rencontre avec J.________. La recourante soutient qu’il y aurait des versions différentes de la « comptabilité » tenue par J.________, ce qui serait de nature à jeter des soupçons suffisants pour justifier une ouverture d’instruction. Elle précise qu’il existe une « version datant de 2020 », qui est celle de la procédure pénale, et une autre version datée de 2017 dont elle a eu connaissance par courriel. A l’appui de cette allégation, elle a produit, au stade du recours, trois courriels que J.________ a transmis à son avocat et à la recourante en septembre 2017, et des listes récapitulatives de versements opérés par son ex-compagnon entre octobre 2011 et décembre 2017. Il peut tout d’abord être constaté que la liste récapitulative pour 2017 mentionne des factures postérieures à septembre 2017, de sorte qu’il semble peu probable qu’elle ait été transmise à la recourante avec les courriels précités. D’éventuelles différences entre les récapitulatifs de paiement que J.________ a transmis au Ministère public et ceux qu’il aurait fournis en 2017 à la recourante n’est pas un élément justifiant une ouverture d’instruction, d’autant moins que l’affectation des sommes visées par les prêts a pu être établie de manière incontestable par les extraits bancaires et les factures versées au dossier.</w:t>
      </w:r>
    </w:p>
    <w:p>
      <w:r>
        <w:t>- 15 - Si la recourante a ensuite soulevé quelques erreurs dans les listes des paiements que J.________ a transmises au Ministère public, elles sont irrelevantes pour l’appréciation du cas. En effet, le fait qu’un virement bancaire de 5'380 fr. effectué le 8 octobre 2012 avec la mention « D.________ C/ [...], honoraires 30 octobre 2012 » figure par erreur dans le décompte de paiement sous la rubrique « [...] TRAVAUX », qu’un paiement de frais d’installation de téléphonie pour un montant de 1'596 fr. 20 figure dans la liste des paiements comme « frais d’entretien de la propriété » ou encore qu’un paiement de 2'821 fr. 55 d’une facture d’assurance ménage adressée à la recourante figure dans le décompte comme une facture de « fournitures », ne change rien au fait que ces paiements ont bel et bien été effectués par J.________ sur la base des contrats de prêts, les parties ayant convenu que les fonds prêtés devaient servir notamment à régler les factures de la recourante, y compris les factures en lien avec sa propriété immobilière. Enfin, rien ne permet de rendre vraisemblable que l’infraction d’escroquerie serait réalisée au stade de la tentative. La recourante se limite à alléguer qu’une tentative d’escroquerie ne pourrait pas être exclue « compte tenu des comportements mis en exergue ». Or, les éléments constitutifs de l’infraction d’escroquerie ne sont manifestement pas réalisés et rien ne laisse supposer que J.________ aurait eu l’intention de tromper la recourante, de lui créer un dommage ou encore de s’enrichir. En conclusion, l’ordonnance de non-entrée en matière est fondée en tant qu’elle porte sur l’infraction d’escroquerie.</w:t>
      </w:r>
    </w:p>
    <w:p>
      <w:r>
        <w:rPr>
          <w:b/>
        </w:rPr>
        <w:t>E. 2.3.2</w:t>
      </w:r>
    </w:p>
    <w:p>
      <w:r>
        <w:t>S’agissant de l’infraction d’usure, c’est également à juste titre que le Ministre public a refusé d’entrer en matière sur la plainte de la recourante. Les cédules hypothécaires prévues dans les contrats de prêt portent sur un montant équivalent aux sommes prêtées et le taux</w:t>
      </w:r>
    </w:p>
    <w:p>
      <w:r>
        <w:t>- 16 - d’intérêt de 3 % convenu entre les parties est raisonnable. Rappelons que la recourante était versée dans les affaires et connaissait la portée des actes conclus avec son ex-compagnon. Il n’y a manifestement aucune disproportion entre les obligations respectives des parties, étant rappelé que les investissements dans la propriété ont bénéficié à la recourante, même si elle en partageait l’usage avec son ex-compagnon. Au demeurant, comme vu précédemment (consid. 2.3.1) et comme l’a développé le Ministère public de manière étayée, il n’y a aucun élément permettant de présumer d’une situation de faiblesse au point d’affecter la capacité de jugement de la recourante.</w:t>
      </w:r>
    </w:p>
    <w:p>
      <w:r>
        <w:rPr>
          <w:b/>
        </w:rPr>
        <w:t>E. 2.3.3</w:t>
      </w:r>
    </w:p>
    <w:p>
      <w:r>
        <w:t>Concernant l’infraction d’appropriation illégitime, la recourante se limite à soutenir qu’il n’est pas manifeste que les éléments constitutifs de l’infraction ne seraient pas réalisés et à invoquer une violation du principe in dubio pro duriore, sans apporter le moindre élément permettant de rendre vraisemblable que J.________ aurait emporté des biens lui appartenant. Elle ne soutient d’ailleurs pas que des mesures d’instruction permettaient d’éclaircir ces questions. Or, face à des versions contradictoires des parties, il peut être renoncé à une mise en accusation lorsqu’il n’est pas possible d’apprécier l’une ou l’autre version comme étant plus ou moins plausible et qu’aucun résultat n’est à escompter d’autres moyens de preuve (TF 6B_1164/2020 du 10 juin 2021 consid. 2.2 ; TF 6B_1239/2018 du 11 mars 2019 consid. 3.2.1 et les arrêts cités). L’ordonnance de non-entrée en matière est donc également pleinement justifiée sur ce point.</w:t>
      </w:r>
    </w:p>
    <w:p>
      <w:r>
        <w:rPr>
          <w:b/>
        </w:rPr>
        <w:t>E. 2.3.4</w:t>
      </w:r>
    </w:p>
    <w:p>
      <w:r>
        <w:t>La recourante soutient encore, de façon générale pour étayer ses accusations concernant les infractions d’escroquerie et d’usure, que J.________ bénéficiait d’un forfait fiscal et que, pour diminuer son imposition, il aurait déclaré un loyer mensuel de 5'000 fr. pour vivre dans une somptueuse maison, sans être imposé comme il aurait dû l’être. Il aurait de plus versé les salaires des employés de la maison alors que ceux-ci étaient formellement engagés par la recourante, toujours dans le but d’éviter une imposition, ce qui causerait actuellement des problèmes</w:t>
      </w:r>
    </w:p>
    <w:p>
      <w:r>
        <w:t>- 17 - tant sous l’angle fiscal que par rapport à l’AVS. Ces éléments concernent toutefois la Caisse de compensation AVS et l’administration fiscale – qui semblent déjà instruire ces aspects – et on ne voit pas en quoi ils seraient pertinents pour appréhender les infractions reprochées à J.________. La recourante argue encore que sa plainte pénale n’était pas limitée aux infractions d’escroquerie, d’usure et d’appropriation illégitime. Cela étant, elle ne fournit aucune indication sur les autres infractions qui pourraient entrer en ligne de compte et on n’en discerne aucune, le Ministère public ayant relevé à juste titre que les aspects du litige opposant les parties étaient de nature exclusivement civile. Dans la mesure de ce qui précède, l’ouverture d’une instruction est inutile et il n'y a pas lieu d’inviter le Ministère public à donner suite aux nombreuses réquisitions de preuves de la recourante (cf. recours pp. 24-25), qu’on peut qualifier d’exploratoires et dont on ne voit pas en quoi elles seraient pertinentes pour établir les infractions dénoncées, les éléments au dossier étant suffisants pour exclure leur réalisation.</w:t>
      </w:r>
    </w:p>
    <w:p>
      <w:r>
        <w:rPr>
          <w:b/>
        </w:rPr>
        <w:t>E. 3</w:t>
      </w:r>
    </w:p>
    <w:p>
      <w:r>
        <w:t>Au vu de ce qui précède, le recours, manifestement mal fondé, doit être rejeté sans échange d’écritures (art. 390 al. 2 CPP) et l’ordonnance attaquée confirmée. Les frais de la procédure de recours, constitués du seul émolument d’arrêt (art. 422 al. 1 CPP), par 1'760 fr. (art. 20 al. 1 TFIP [Tarif des frais de procédure et indemnités en matière pénale du 28 septembre 2010 ; BLV 312.03.1]), seront mis à la charge de la recourante, qui succombe (art. 428 al. 1 CPP).</w:t>
      </w:r>
    </w:p>
    <w:p>
      <w:r>
        <w:t>- 18 - Par ces motifs, la Chambre des recours pénale prononce : I. Le recours est rejeté. II. L’ordonnance du 1er novembre 2022 est confirmée. III. Les frais d’arrêt, par 1’760 fr. (mille sept cent soixante francs), sont mis à la charge de D.________. IV. L’arrêt est exécutoire. La présidente : La greffière : Du Le présent arrêt, dont la rédaction a été approuvée à huis clos, est notifié, par l'envoi d'une copie complète, à : - Me Ludovic Tirelli (pour Mme D.________), - Ministère public central, et communiqué à : - Mme la Procureure de l’arrondissement de La Côte, - Me Pascal Marti (pour M. J.________),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