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PE20.003948 vom 4. Juni 2020</w:t>
      </w:r>
    </w:p>
    <w:p>
      <w:r>
        <w:t>VD Tribunal cantonal, 2020-06-04, FR</w:t>
      </w:r>
    </w:p>
    <w:p>
      <w:r>
        <w:rPr>
          <w:b/>
        </w:rPr>
        <w:t xml:space="preserve">Quelle: </w:t>
      </w:r>
      <w:r>
        <w:t>https://mcp.opencaselaw.ch/entscheid/vd_gerichte_PE20.003948</w:t>
      </w:r>
    </w:p>
    <w:p>
      <w:r>
        <w:t>FR: VD_GERICHTE PE20.003948 du 4 juin 2020</w:t>
      </w:r>
    </w:p>
    <w:p>
      <w:r>
        <w:t>IT: VD_GERICHTE PE20.003948 del 4 giugno 2020</w:t>
      </w:r>
    </w:p>
    <w:p>
      <w:pPr>
        <w:pStyle w:val="Heading2"/>
      </w:pPr>
      <w:r>
        <w:t>Erwägungen</w:t>
      </w:r>
    </w:p>
    <w:p>
      <w:r>
        <w:rPr>
          <w:b/>
        </w:rPr>
        <w:t>E. 1.1</w:t>
      </w:r>
    </w:p>
    <w:p>
      <w:r>
        <w:t>Aux termes de l’art. 393 al. 1 let. a CPP (Code de procédure pénale suisse du 5 octobre 2007; RS 312.0), le recours est recevable contre les décisions et les actes de procédure du Ministère public. Ainsi, la décision du Ministère public ordonnant un prélèvement 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le recours a été interjeté en temps utile par le prévenu qui a la qualité pour recourir (art. 382 CPP) et dans les formes prescrites (cf. art. 385 al. 1 CPP), de sorte qu’il est recevable.</w:t>
      </w:r>
    </w:p>
    <w:p>
      <w:r>
        <w:rPr>
          <w:b/>
        </w:rPr>
        <w:t>E. 2</w:t>
      </w:r>
    </w:p>
    <w:p>
      <w:r>
        <w:t>- 5 -</w:t>
      </w:r>
    </w:p>
    <w:p>
      <w:r>
        <w:rPr>
          <w:b/>
        </w:rPr>
        <w:t>E. 2.1</w:t>
      </w:r>
    </w:p>
    <w:p>
      <w:r>
        <w:t>Le recourant invoque une violation de son droit d’être entendu au motif que la motivation de l’ordonnance attaquée serait insuffisante. Il reproche au Ministère public de ne pas avoir exposé le but recherché par l’établissement de son profil ADN, respectivement ce que cela pourrait apporter à l’enquête.</w:t>
      </w:r>
    </w:p>
    <w:p>
      <w:r>
        <w:rPr>
          <w:b/>
        </w:rPr>
        <w:t>E. 2.2.1</w:t>
      </w:r>
    </w:p>
    <w:p>
      <w:r>
        <w:t>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L’établissement d’un profil ADN est une atteinte à la liberté personnelle, à l’intégrité corporelle et à la sphère privée ainsi qu’au droit à l’autodétermination en matière de données personnelles protégé par l’art. 13 al. 2 Cst. (Constitution fédérale de la Confédération suisse du 18 avril 1999; RS 101), selon lequel toute personne a le droit d’être protégée contre l’emploi abusif des données qui la concernent (ATF 144 IV 127 consid. 2.1). Vu les limitations aux droits constitutionnels qu’ils impliquent, un prélèvement d’ADN et l’établissement d’un profil ADN doivent être justifiés par un intérêt public et respecter le principe de la proportionnalité (ATF 144 IV 127 consid. 2.1). Ceux-ci ne devraient pas être ordonnés lorsque l’infraction commise est de faible gravité ou qu’elle peut être élucidée par un autre moyen (Rohmer, in : Jeanneret/Kuhn/Perrier Depeursinge [éd.], Commentaire romand, Code de procédure pénale suisse, 2e éd., Bâle 2019, n. 16 ad art. 255 CPP).</w:t>
      </w:r>
    </w:p>
    <w:p>
      <w:r>
        <w:rPr>
          <w:b/>
        </w:rPr>
        <w:t>E. 2.2.2</w:t>
      </w:r>
    </w:p>
    <w:p>
      <w:r>
        <w:t>Le droit d'être entendu consacré aux art. 3 al. 2 let. c CPP et 29 al. 2 Cst. implique pour l'autorité l'obligation de motiver sa décision. Il</w:t>
      </w:r>
    </w:p>
    <w:p>
      <w:r>
        <w:t>- 6 - suffit que le juge mentionne, au moins brièvement, les motifs qui l'ont guidé et sur lesquels il a fondé sa décision, de manière à ce que l'intéressé puisse se rendre compte de la portée de celle-ci et l'attaquer en connaissance de cause (ATF 143 III 65 consid. 5.2; TF 1B_335/2019 du 16 janvier 2020 consid. 3.1.1). L'autorité n'a pas l'obligation d'exposer et de discuter tous les faits, moyens de preuve et griefs invoqués par les parties, mais peut au contraire se limiter à l'examen des questions décisives pour l'issue du litige (ATF 142 II 154 consid. 4.2; TF 1B_335/2019 du 16 janvier 2020 consid. 3.1.1). La motivation peut pour le reste être implicite et résulter des différents considérants de la décision (ATF 141 V 557 consid. 3.2.1; TF 1B_335/2019 du 16 janvier 2020 consid. 3.1.1 et les arrêts cités). La seule référence à la norme légale est insuffisante sous l’angle des exigences de motivation (cf. TF 1A.95/2002 du 16 juillet 2002 consid. 3.3; CREP 6 décembre 2018/950; CREP 18 juillet 2013/442).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 TF 6B_1251/2016 du 19 juillet 2017 consid. 3.1). S’agissant de l’établissement d’un profil ADN et de la saisie de données signalétiques, la jurisprudence impose d’examiner les conditions</w:t>
      </w:r>
    </w:p>
    <w:p>
      <w:r>
        <w:t>- 7 - légales pour la prise de celles-ci dans chaque cas individuel (ATF 141 IV 87, JdT 2015 IV 280; CREP 6 décembre 2018/950 consid. 2.2.2).</w:t>
      </w:r>
    </w:p>
    <w:p>
      <w:r>
        <w:rPr>
          <w:b/>
        </w:rPr>
        <w:t>E. 2.3</w:t>
      </w:r>
    </w:p>
    <w:p>
      <w:r>
        <w:t>En l’espèce, l’ordonnance attaquée viole le droit d’être entendu du recourant. Le Ministère public s’est contenté de fournir une motivation abstraite et de se référer à l’art. 255 CPP, sans indiquer en quoi les conditions posées par cette disposition légale seraient réalisées. Il a uniquement indiqué que l’établissement du profil ADN contribuerait à élucider un crime ou un délit et que cette mesure serait adéquate et respecterait le principe de la proportionnalité. Le Procureur n’a cependant pas exposé, même de manière succincte, le but recherché concrètement par l’établissement du profil ADN concerné. Si l’on comprend qu’une telle mesure est fréquente dans les affaires de viol, on ne discerne pas, à ce stade et dans les circonstances du cas d’espèce, ce que cette mesure pourrait apporter à l’enquête. En effet, l’accusation de la plaignante est précise et porte sur des événements relativement définis. Or, il n’apparaît pas que le prévenu contesterait d’avoir entretenu des relations sexuelles avec la plaignante, mais uniquement de l’avoir contrainte, notamment à une reprise en avril 2019. La motivation de l’ordonnance attaquée est donc insuffisante et prive l’autorité de recours de la possibilité d’exercer correctement son contrôle. Quand bien même la Chambre des recours pénale dispose d’un plein pouvoir d’examen, il ne lui appartient pas de réparer la présente violation du droit d’être entendu, le recourant devant pouvoir bénéficier de la garantie de la double instance. Dans ses déterminations du 2 juin 2020, le Ministère public expose certes que le prévenu a connaissance des faits qui lui sont reprochés et de l’infraction envisagée, mais n’explique toujours pas en quoi exactement la mesure envisagée serait nécessaire à l’enquête. Le Ministère public disposera d’un délai de dix jours, à compter de la notification du présent arrêt, pour rendre une nouvelle décision motivée, à défaut de quoi le prélèvement ADN et le profil ADN en découlant concerné, non exploitables, devront être détruits.</w:t>
      </w:r>
    </w:p>
    <w:p>
      <w:r>
        <w:t>- 8 -</w:t>
      </w:r>
    </w:p>
    <w:p>
      <w:r>
        <w:rPr>
          <w:b/>
        </w:rPr>
        <w:t>E. 3</w:t>
      </w:r>
    </w:p>
    <w:p>
      <w:r>
        <w:t>Au vu de ce qui précède, le recours doit être admis, l’ordonnance du</w:t>
      </w:r>
    </w:p>
    <w:p>
      <w:r>
        <w:rPr>
          <w:b/>
        </w:rPr>
        <w:t>E. 6</w:t>
      </w:r>
    </w:p>
    <w:p>
      <w:r>
        <w:t>mai 2020 annulée et le dossier de la cause renvoyé au Ministère public de l’arrondissement de Lausanne pour qu’il procède dans le sens du considérant qui précède. Les frais de la procédure de recours, constitués en l’espèce de l’émolument d'arrêt, par 880 fr. (art. 20 al. 1 TFIP [Tarif des frais de procédure et indemnités en matière pénale du 28 septembre 2010; BLV 312.03.1]), ainsi que des frais imputables à la défense d’office (art. 422 al. 1 et al. 2 let. a CPP), fixés – sur la base de la liste d’opérations déposée, dont il n’y a pas lieu de s’écarter – au montant arrondi de 840 fr., qui comprend des honoraires, par 765 fr. (4,25 heures à 180 fr.), des débours forfaitaires à concurrence de 2 %, par 15 fr. 30, et la TVA, par 60 fr. 10, qui seront laissés à la charge de l’Etat (art. 428 al. 4 CPP). Par ces motifs, la Chambre des recours pénale prononce : I. Le recours est admis. II. L’ordonnance du 6 mai 2020 est annulée. III. Le dossier de la cause est renvoyé au Ministère public de l’arrondissement de Lausanne pour qu’il procède dans le sens des considérants dans un délai de dix jours dès la notification du présent arrêt, à défaut de quoi le prélèvement ADN n° [...] et le profil ADN en découlant devront être détruits. IV. L'indemnité allouée au défenseur d'office de N.________ est fixée à 840 fr. (huit cent quarante francs). V. Les frais d’arrêt, par 880 fr. (huit cent huitante francs), ainsi que l'indemnité due au défenseur d'office de N.________, par</w:t>
      </w:r>
    </w:p>
    <w:p>
      <w:r>
        <w:t>- 9 - 840 fr. (huit cent quarante francs), sont laissés à la charge de l'Etat. VI. L’arrêt est exécutoire. Le président : Le greffier : Du Le présent arrêt, dont la rédaction a été approuvée à huis clos, est notifié, par l'envoi d'une copie complète, à : - Me Coralie Germond, avocate (pour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- 10 -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