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PE20.003870 vom 6. August 2020</w:t>
      </w:r>
    </w:p>
    <w:p>
      <w:r>
        <w:t>VD Tribunal cantonal, 2020-08-06, FR</w:t>
      </w:r>
    </w:p>
    <w:p>
      <w:r>
        <w:rPr>
          <w:b/>
        </w:rPr>
        <w:t xml:space="preserve">Quelle: </w:t>
      </w:r>
      <w:r>
        <w:t>https://mcp.opencaselaw.ch/entscheid/vd_gerichte_PE20.003870</w:t>
      </w:r>
    </w:p>
    <w:p>
      <w:r>
        <w:t>FR: VD_GERICHTE PE20.003870 du 6 août 2020</w:t>
      </w:r>
    </w:p>
    <w:p>
      <w:r>
        <w:t>IT: VD_GERICHTE PE20.003870 del 6 agosto 2020</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 ATF 140 IV 155 consid. 3.3.1), le recours de Q.________ est recevable. Les pièces nouvelles sont également recevables (art. 390 al. 4 in fine CPP ; Moreillon/Parein-Reymond, Code de procédure pénale, Petit commentaire, 2e éd., Bâle 2016, n. 8 ad art. 385 CPP).</w:t>
      </w:r>
    </w:p>
    <w:p>
      <w:r>
        <w:rPr>
          <w:b/>
        </w:rPr>
        <w:t>E. 1.2</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si bien qu’un membre de la Chambre des recours pénale est compétent pour statuer en tant que juge unique (art. 13 al. 2 LVCPP).</w:t>
      </w:r>
    </w:p>
    <w:p>
      <w:r>
        <w:t>- 4 -</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6B_375/2020 du 9 juillet 2020 consid. 3.2).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A teneur de l’art. 310 al. 1 let. c CPP, il en va de même s'il ressort de la dénonciation ou du rapport de police que les conditions mentionnées à l'art. 8 CPP imposent de renoncer à l'ouverture d'une poursuite pénale.</w:t>
      </w:r>
    </w:p>
    <w:p>
      <w:r>
        <w:rPr>
          <w:b/>
        </w:rPr>
        <w:t>E. 3</w:t>
      </w:r>
    </w:p>
    <w:p>
      <w:r>
        <w:t>- 5 -</w:t>
      </w:r>
    </w:p>
    <w:p>
      <w:r>
        <w:rPr>
          <w:b/>
        </w:rPr>
        <w:t>E. 3.1</w:t>
      </w:r>
    </w:p>
    <w:p>
      <w:r>
        <w:t>La recourante fait valoir qu’en déposant plainte le 10 mars 2020 elle aurait présenté des copies de l’écran de son téléphone portable sur lesquelles apparaissaient des messages écrits par M.________. La police lui aurait toutefois indiqué qu’il fallait les conserver pour les présenter plus tard s’ils lui étaient demandés. Or, cela n’aurait jamais été le cas, de sorte que ce serait à tort que la Procureure a retenu qu’elle n’avait pas apporté la preuve des messages et appels dont elle se plaignait. La recourante a donc produit ces documents à l’appui de son recours.</w:t>
      </w:r>
    </w:p>
    <w:p>
      <w:r>
        <w:rPr>
          <w:b/>
        </w:rPr>
        <w:t>E. 3.2</w:t>
      </w:r>
    </w:p>
    <w:p>
      <w:r>
        <w:t>L'art. 179septies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Selon la jurisprudence (cf. ATF 126 IV 216 consid. 2b/aa, JdT 2003 IV 26 ; TF 6B_1088/2015 du 6 juin 2016 consid. 2.1), le juge se doit de limiter l’interdiction contenue dans la disposition pénale à des comportements manifestement répréhensibles.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w:t>
      </w:r>
    </w:p>
    <w:p>
      <w:r>
        <w:t>- 6 -</w:t>
      </w:r>
    </w:p>
    <w:p>
      <w:r>
        <w:rPr>
          <w:b/>
        </w:rPr>
        <w:t>E. 3.3</w:t>
      </w:r>
    </w:p>
    <w:p>
      <w:r>
        <w:t>En l’occurrence, la Procureure a retenu que M.________ avait déjà fait l’objet d’une enquête pour des appels abusifs précédents (Dossier B, P. 5) et que la nouvelle plainte de Q.________ portait sur un message vocal (23 janvier 2020), cinq appels depuis un numéro fixe inconnu, dont quatre appels en absence (29 janvier 2020), et un appel en absence avec un autre numéro (23 février 2020). Entre cette dernière tentative d’appel et son dépôt de plainte (10 mars 2020), le prévenu n’aurait pas tenté de la recontacter. Par ailleurs, la plaignante n’avait pas fait état de nouvelles tentatives de contacts depuis cette date. Enfin, dans la mesure où elle n’avait fourni aucun document, elle n’avait pas apporté la preuve des messages et appels dont elle se plaignait. La Procureure a dès lors considéré qu’il n’était pas possible d’établir l’atteinte subie, respectivement de déterminer si celle-ci était propre à fonder les conditions requises par l’art. 179septies CP. Quant aux menaces, elles n’étaient pas étayées et les propos rapportés ne revêtaient en eux-mêmes manifestement pas la gravité requise de l’infraction de menaces au sens de l’art. 180 al. 1 CP. Cette appréciation doit être confirmée. S’agissant d’atteintes légères, les appels dénoncés ne sont pas suffisamment nombreux pour être constitutifs d’utilisation abusive d’une installation de télécommunication au sens de la jurisprudence précitée.</w:t>
      </w:r>
    </w:p>
    <w:p>
      <w:r>
        <w:rPr>
          <w:b/>
        </w:rPr>
        <w:t>E. 4</w:t>
      </w:r>
    </w:p>
    <w:p>
      <w:r>
        <w:t>Compte tenu de ce qui précède, le recours, manifestement mal fondé, doit être rejeté sans échange d’écritures (art. 390 al. 2 CPP) et l’ordonnance attaquée confirmée. Les frais de la procédure de recours sont constitués en l’espèce du seul émolument d'arrêt (art. 422 al. 1 CPP), par 660 fr. (art. 20 al. 1 TFIP [Tarif des frais de procédure et indemnités en matière pénale du 28 septembre 2010 ; BLV 312.03.1]). La plaignante était légitimée à faire état devant la Cour de céans des moyens de preuve qu’on ne lui avait finalement jamais demandé de produire contrairement à ce que la police lui avait indiqué. Dans ces circonstances, les frais seront exceptionnellement laissés à la charge de l’Etat.</w:t>
      </w:r>
    </w:p>
    <w:p>
      <w:r>
        <w:t>- 7 - Par ces motifs, le juge unique prononce : I. Le recours est rejeté. II. L’ordonnance du 22 juillet 2020 est confirmée. III. Les frais d’arrêt, par 660 fr. (six cent soixante francs), sont laissés à la charge de l’Etat. IV. L’arrêt est exécutoire. Le juge unique : La greffière : Du Le présent arrêt, dont la rédaction a été approuvée à huis clos, est notifié, par l'envoi d'une copie complète, à : - Mme Q.________, - Ministère public central, et communiqué à : - Mme la Procureure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