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PE20.003823 vom 14. Mai 2020</w:t>
      </w:r>
    </w:p>
    <w:p>
      <w:r>
        <w:t>VD Tribunal cantonal, 2020-05-14, FR</w:t>
      </w:r>
    </w:p>
    <w:p>
      <w:r>
        <w:rPr>
          <w:b/>
        </w:rPr>
        <w:t xml:space="preserve">Quelle: </w:t>
      </w:r>
      <w:r>
        <w:t>https://mcp.opencaselaw.ch/entscheid/vd_gerichte_PE20.003823</w:t>
      </w:r>
    </w:p>
    <w:p>
      <w:r>
        <w:t>FR: VD_GERICHTE PE20.003823 du 14 mai 2020</w:t>
      </w:r>
    </w:p>
    <w:p>
      <w:r>
        <w:t>IT: VD_GERICHTE PE20.003823 del 14 maggio 2020</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par le prévenu qui a qualité pour recourir (art. 382 CPP) et dans les formes prescrites (cf. art. 385 al. 1 CPP), le recours de N.________ est recevable.</w:t>
      </w:r>
    </w:p>
    <w:p>
      <w:r>
        <w:rPr>
          <w:b/>
        </w:rPr>
        <w:t>E. 2</w:t>
      </w:r>
    </w:p>
    <w:p>
      <w:r>
        <w:t>Le recourant conteste la décision du Ministère public tendant à l’établissement de son profil ADN, se prévalant d'une violation de son droit d'être entendu dans la mesure où l'ordonnance litigieuse ne comporte aucune motivation.</w:t>
      </w:r>
    </w:p>
    <w:p>
      <w:r>
        <w:rPr>
          <w:b/>
        </w:rPr>
        <w:t>E. 2.1.1</w:t>
      </w:r>
    </w:p>
    <w:p>
      <w:r>
        <w:t>Portant atteinte de manière plus ou moins importante aux droits fondamentaux des personnes concernées, les mesures de contrainte ne peuvent être prises qu’aux conditions cumulativement énumérées à l’art. 197 al. 1 CPP, à savoir lorsqu’elles sont prévues par la loi (let. a), lorsque des soupçons suffisants laissent présumer une infraction (let. b), lorsque les buts poursuivis ne peuvent pas être atteints</w:t>
      </w:r>
    </w:p>
    <w:p>
      <w:r>
        <w:t>- 5 - par des mesures moins sévères (let. c) et lorsqu’elles apparaissent justifiées au regard de la gravité de l’infraction (let. d).</w:t>
      </w:r>
    </w:p>
    <w:p>
      <w:r>
        <w:rPr>
          <w:b/>
        </w:rPr>
        <w:t>E. 2.1.2</w:t>
      </w:r>
    </w:p>
    <w:p>
      <w:r>
        <w:t>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L’établissement d’un profil ADN est une atteinte à l’intégrité corporelle ainsi qu’au droit protégé par l’art. 13 al. 2 Cst. (Constitution fédérale de la Confédération suisse du 18 avril 1999 ; RS 101), selon lequel toute personne a le droit d’être protégée contre l’emploi abusif des données qui la concernent. Il convient ainsi de respecter le principe de la proportionnalité (art. 36 al. 3 Cst.) lorsque l’on ordonne l’établissement d’un profil ADN, lequel ne devrait pas être ordonné lorsque l’infraction commise est de faible gravité ou peut être élucidée par un autre moyen (Rohmer, in : Jeanneret/Kuhn/Perrier Depeursinge [éd.], Commentaire romand, Code de procédure pénale suisse, 2e éd., Bâle 2019, n. 16 ad art. 255 CPP). La mesure peut être ordonnée non seulement lorsqu’il s’agit d’élucider un délit initial ayant donné lieu à la mesure de prélèvement ou d’attribuer à un auteur des infractions déjà commises, mais également pour permettre d’identifier l’auteur de crimes ou délits – anciens ou futurs – qui n’ont pas été portés à la connaissance des autorités répressives. Elle peut permettre d’éviter des erreurs d’identification et peut également jouer un rôle préventif. Il est donc possible d’ordonner une telle mesure lorsqu’il existe, selon une certaine vraisemblance, un risque que l’intéressé puisse être impliqué dans d’autres infractions (TF 1B_685/2011 du 23 février 2012 ; Moreillon/Parein-Reymond, Petit commentaire du Code de procédure pénale, op. cit., n. 5 ad art. 255 CPP et réf. cit.).</w:t>
      </w:r>
    </w:p>
    <w:p>
      <w:r>
        <w:t>- 6 -</w:t>
      </w:r>
    </w:p>
    <w:p>
      <w:r>
        <w:rPr>
          <w:b/>
        </w:rPr>
        <w:t>E. 2.1.3</w:t>
      </w:r>
    </w:p>
    <w:p>
      <w:r>
        <w:t>Le droit d'être entendu, garanti par les art. 3 al. 2 let. c CPP, 29 al. 2 Cst. et 6 par. 1 CEDH (Convention de sauvegarde des droits de l’homme et des libertés fondamentales du 4 novembre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ATF 133 III 439 consid. 3.3 ; Moreillon/Parein- Reymond, Petit commentaire du Code de procédure pénale, op. cit., nn. 6 ss ad art. 80 CPP). S’agissant de l’établissement d’un profil ADN et de la saisie de données signalétiques, la jurisprudence impose d’examiner les conditions légales pour la prise de celles-ci dans chaque cas individuel (ATF 141 IV 87, JdT 2015 IV 280; CREP 6 décembre 2018/950 consid. 2.2.2; CREP 5 mars 2020/157 consid. 2.3).</w:t>
      </w:r>
    </w:p>
    <w:p>
      <w:r>
        <w:rPr>
          <w:b/>
        </w:rPr>
        <w:t>E. 2.2</w:t>
      </w:r>
    </w:p>
    <w:p>
      <w:r>
        <w:t>En l’espèce, l’ordonnance attaquée viole le droit d’être entendu du recourant. Le Ministère public s’est contenté de fournir une motivation abstraite et de se référer à l’art. 255 CPP, sans indiquer en quoi les conditions posées par cette disposition légale seraient en l’occurrence réalisées. Il a en effet uniquement fait mention des infractions pouvant entrer en ligne de compte et relevé qu’un prélèvement avait été effectué par la police, que l’établissement du profil ADN contribuerait à élucider un crime ou un délit et que cette mesure était adéquate et respectait le principe de la proportionnalité. La Procureure n’a ainsi pas exposé, même de manière succincte, les faits reprochés au prévenu, ni le but recherché concrètement par l’établissement du profil ADN concerné. On ne discerne pas, sur la base de la décision, ce que cette mesure pourrait apporter à</w:t>
      </w:r>
    </w:p>
    <w:p>
      <w:r>
        <w:t>- 7 - l’enquête. La motivation de l’ordonnance attaquée est donc insuffisante et prive l’autorité de recours de la possibilité d’exercer correctement son contrôle. La Procureure a certes exposé les faits et les raisons pour lesquelles la mesure a été ordonnée dans ses déterminations du 20 avril 2020. Toutefois, quand bien même la Chambre des recours pénale dispose d’un plein pouvoir d’examen, il ne lui appartient pas de réparer la présente violation du droit d’être entendu, le recourant devant dans le cas d’espèce pouvoir bénéficier de la garantie de la double instance. Il convient dès lors d’annuler la décision attaquée. Le Ministère public disposera d’un délai de dix jours, à compter de la notification du présent arrêt, pour rendre une nouvelle décision motivée, à défaut de quoi le prélèvement ADN concerné, non exploitable, devra être détruit.</w:t>
      </w:r>
    </w:p>
    <w:p>
      <w:r>
        <w:rPr>
          <w:b/>
        </w:rPr>
        <w:t>E. 3</w:t>
      </w:r>
    </w:p>
    <w:p>
      <w:r>
        <w:t>En définitive, le recours doit être admis, l'ordonnance rendue le 7 avril 2020 annulée et le dossier de la cause renvoyé au Ministère public pour qu’il procède dans le sens des considérants. Les frais de la procédure de recours, par 660 fr. (art. 20 al. 1 TFIP [tarif des frais de procédure et indemnités en matière pénale du 28 septembre 2010; BLV 312.03.1]), ainsi que l’indemnité due au défenseur d'office du recourant (art. 422 al. 1 et 2 let. a CPP), qui comprend des honoraires par 360 fr. (2 heures au tarif horaire de 180 fr.), des débours forfaitaires de 2% par 7 fr. 20 (cf. art. 26b TFIP qui renvoie à l'art. 3bis RAJ [règlement sur l’assistance judiciaire en matière civile du 7 décembre 2010; BLV 211.02.3]) et la TVA, par 28 fr. 25, soit un total arrondi à 395 fr., seront laissés à la charge de l’Etat (art. 428 al. 4 CPP).</w:t>
      </w:r>
    </w:p>
    <w:p>
      <w:r>
        <w:t>- 8 - Par ces motifs, la Chambre des recours pénale prononce : I. Le recours est admis. II. L'ordonnance du 7 avril 2020 est annulée. III. Le dossier de la cause est renvoyé au Ministère public de l’arrondissement de l'Est vaudois pour qu’il procède dans le sens des considérants dans un délai de dix jours dès la notification du présent arrêt, à défaut de quoi le prélèvement ADN n° 3361721735 devra être détruit. IV. L’indemnité allouée au défenseur d’office de N.________ est fixée à 395 fr. (trois cent nonante-cinq francs). V. Les frais d’arrêt, par 660 fr. (six cent soixante francs), ainsi que l’indemnité due au défenseur d’office de N.________, par 395 fr. (trois cent nonante-cinq francs), sont laissés à la charge de l’Etat. VI. L’arrêt est exécutoire. Le président : La greffière :</w:t>
      </w:r>
    </w:p>
    <w:p>
      <w:r>
        <w:t>- 9 - Du Le présent arrêt, dont la rédaction a été approuvée à huis clos, est notifié, par l'envoi d'une copie complète, à : - Me Stéfanie Brun Poggi, avocate (pour N.________),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