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PE20.003669 vom 19. Juni 2020</w:t>
      </w:r>
    </w:p>
    <w:p>
      <w:r>
        <w:t>VD Tribunal cantonal, 2020-06-19, FR</w:t>
      </w:r>
    </w:p>
    <w:p>
      <w:r>
        <w:rPr>
          <w:b/>
        </w:rPr>
        <w:t xml:space="preserve">Quelle: </w:t>
      </w:r>
      <w:r>
        <w:t>https://mcp.opencaselaw.ch/entscheid/vd_gerichte_PE20.003669</w:t>
      </w:r>
    </w:p>
    <w:p>
      <w:r>
        <w:t>FR: VD_GERICHTE PE20.003669 du 19 juin 2020</w:t>
      </w:r>
    </w:p>
    <w:p>
      <w:r>
        <w:t>IT: VD_GERICHTE PE20.003669 del 19 giugno 2020</w:t>
      </w:r>
    </w:p>
    <w:p>
      <w:pPr>
        <w:pStyle w:val="Heading2"/>
      </w:pPr>
      <w:r>
        <w:t>Erwägungen</w:t>
      </w:r>
    </w:p>
    <w:p>
      <w:r>
        <w:rPr>
          <w:b/>
        </w:rPr>
        <w:t>E. 1</w:t>
      </w:r>
    </w:p>
    <w:p>
      <w:r>
        <w:t>Une décision de refus ou de refus partiel de l'assistance judiciaire peut faire l'objet d'un recours aux conditions des art. 393 ss CPP (Harari/Corminboeuf Harari, in : Jeanneret/Kuhn/Perrier Depeursinge [éd.], Commentaire romand, Code de procédure pénale suisse, 2e éd., Bâle 2019, n. 16 ad art. 136 CPP ; CREP 15 août 2019/580). Interjeté dans le délai légal (art. 396 al. 1 CPP) par la partie plaignante qui a qualité pour recourir (art. 382 al. 1 CPP) et dans les formes prescrites (art. 385 al. 1 CPP), le recours de T.________ est recevable.</w:t>
      </w:r>
    </w:p>
    <w:p>
      <w:r>
        <w:rPr>
          <w:b/>
        </w:rPr>
        <w:t>E. 2.1</w:t>
      </w:r>
    </w:p>
    <w:p>
      <w:r>
        <w:t>La recourante fait valoir qu’elle ne serait pas en mesure de défendre ses intérêts sans l’assistance d’un conseil juridique, dès lors qu’elle ne connaîtrait rien du système judiciaire suisse, qu’elle ne serait pas de langue maternelle française et que le prévenu serait pour sa part assisté d’un avocat.</w:t>
      </w:r>
    </w:p>
    <w:p>
      <w:r>
        <w:rPr>
          <w:b/>
        </w:rPr>
        <w:t>E. 2.2</w:t>
      </w:r>
    </w:p>
    <w:p>
      <w:r>
        <w:t>A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let. c de cette disposition, l'assistance judiciaire comprend notamment la désignation d'un conseil juridique gratuit, lorsque la défense des intérêts de la partie plaignante l'exige.</w:t>
      </w:r>
    </w:p>
    <w:p>
      <w:r>
        <w:t>- 4 - Cette norme reprend ainsi les trois conditions cumulatives découlant de l'art. 29 al. 3 Cst. (Constitution fédérale de la Confédération suisse du 18 avril 1999 ; RS 101), à savoir l'indigence, les chances de succès et le besoin d'être assisté (TF 1B_151/2016 du 1er juin 2016 consid. 2.2). Le législateur a sciemment limité l'octroi de l'assistance judiciaire aux cas où le plaignant peut faire valoir des prétentions civiles (ibid.).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relatif à l'unification du droit de la procédure pénale du 21 décembre 2005, FF 2006 p. 1160 ; TF 1B_314/2016 du 28 septembre 2016 consid. 2.1). Une partie plaignante peut solliciter l'assistance judiciaire durant la phase des investigations policières au cours de la procédure préliminaire, n'ayant pas à attendre l'ouverture formelle d'une instruction pénale par le ministère public (ATF 144 IV 377 consid. 2).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cas échéant, des questions complémentaires ; un citoyen ordinaire devrait ainsi être en mesure de défendre lui-même ses intérêts de lésé dans une enquête pénale. Cela vaut également pour la procédure de recours contre une décision de classement (ATF 123 I 145 consid. 2b/bb ; TF 1B_151/2016 du 1er juin 2016 consid. 2.3 et les réf. citées). Pour évaluer si l'affaire présente des difficultés que la partie plaignante ne pourrait pas surmonter sans l'aide d'un avocat, il y a lieu d'apprécier l'ensemble des circonstances</w:t>
      </w:r>
    </w:p>
    <w:p>
      <w:r>
        <w:t>- 5 -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1B_245/2017 du 23 août 2017 consid. 1 ; TF 1B_151/2016 du 1er juin 2016 consid. 2.3). Selon la jurisprudence, une cause présente des difficultés justifiant l'intervention d'un avocat lorsqu'elle soulève des questions juridiques délicates comme par exemple le devoir d'agir du personnel hospitalier pour prévenir un suicide ou la définition des éléments constitutifs du viol (TF 1B_151/2016 du 1er juin 2016 consid. 2.3 et les arrêts cités). Le fait que la partie adverse soit assistée d’un avocat peut également devoir être pris en considération (Harari/Corminboeuf Harari, op. cit., n. 64 ad art. 136 CPP).</w:t>
      </w:r>
    </w:p>
    <w:p>
      <w:r>
        <w:rPr>
          <w:b/>
        </w:rPr>
        <w:t>E. 2.3</w:t>
      </w:r>
    </w:p>
    <w:p>
      <w:r>
        <w:t>En l’espèce, il convient d’abord de relever que les faits de la cause, ainsi que leur qualification juridique – soit la dénonciation calomnieuse, voire l’induction de la justice en erreur –, sont simples. Il est également aisé de faire valoir des conclusions civiles lorsque de telles infractions entrent en ligne de compte, puisque seules les constatations pénales paraissent utiles pour le procès civil, à l’exception d’éventuelles autres prétentions civiles qui ne semblent pas susceptibles d’être allouées dans ce cadre. Ensuite, et contrairement à ce que soutient la recourante, il n’apparaît pas qu’à ce stade préliminaire de la procédure, le prévenu, qui n’a pas encore été entendu, soit assisté d’un avocat. L’égalité des armes ne commande dès lors pas la désignation d’un conseil d’office. Enfin, de jurisprudence constante, la désignation d’un avocat d’office ne saurait intervenir pour suppléer aux lacunes de la langue française présentées par une partie. D’éventuelles difficultés de compréhension doivent en effet bien plutôt être palliées par l’assistance d’un interprète ou d’un traducteur, aux conditions de l’art. 68 al. 1 CPP (CREP 5 février 2020/94 ; CREP 26 janvier 2018/54). Au vu de ce qui précède, l’assistance d’un avocat n’apparaît pas nécessaire à la recourante pour défendre ses intérêts de manière</w:t>
      </w:r>
    </w:p>
    <w:p>
      <w:r>
        <w:t>- 6 - adéquate et c’est donc à juste titre que le Ministère public a refusé de désigner un conseil juridique gratuit à cette dernière.</w:t>
      </w:r>
    </w:p>
    <w:p>
      <w:r>
        <w:rPr>
          <w:b/>
        </w:rPr>
        <w:t>E. 3</w:t>
      </w:r>
    </w:p>
    <w:p>
      <w:r>
        <w:t>Il résulte de ce qui précède que le recours, manifestement mal fondé, doit être rejeté sans échange d’écritures (art. 390 al. 2 CPP) et l’ordonnance entreprise confirmée. Les frais de la procédure de recours, constitués en l’espèce du seul émolument d’arrêt (art. 422 al. 1 CPP), par 660 fr. (art. 20 al. 1 TFIP [Tarif des frais de procédure et indemnités en matière pénale du 28 septembre 2010 ; BLV 312.03.1]), ne peuvent pas être mis à la charge de la recourante, qui succombe (art. 428 al. 1, 1re phrase, CPP), mais doivent être provisoirement laissés à la charge de l’Etat (Harari/Corminboeuf Harari, op. cit., n. 51 ad art. 136 CPP), dès lors que celle-ci bénéficie de l’assistance judiciaire sous la forme de l’exonération des frais de procédure (art. 136 al. 2 let. b CPP). La recourante sera toutefois tenue de rembourser ces frais à l’Etat dès que sa situation financière le permettra (art. 135 al. 4 CPP et 138 al. 1 CPP ; Harari/Corminboeuf Harari, op. cit., n. 11 ad art. 138 CPP). Par ces motifs, la Chambre des recours pénale prononce : I. Le recours est rejeté. II. L’ordonnance du 30 avril 2020 est confirmée. III. Les frais d’arrêt, par 660 fr. (six cent soixante francs), sont provisoirement laissés à la charge de l’Etat. IV. Le remboursement à l’Etat des frais fixés au chiffre III ci- dessus ne sera exigible que pour autant que la situation financière de T.________ le permette. V. L’arrêt est exécutoire.</w:t>
      </w:r>
    </w:p>
    <w:p>
      <w:r>
        <w:t>- 7 - Le président : La greffière : Du Le présent arrêt, dont la rédaction a été approuvée à huis clos, est notifié, par l'envoi d'une copie complète, à : - Me Monica Mitrea, avocate (pour T.________), - Ministère public central,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