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PE20.003655 vom 12. Juni 2020</w:t>
      </w:r>
    </w:p>
    <w:p>
      <w:r>
        <w:t>VD Tribunal cantonal, 2020-06-12, FR</w:t>
      </w:r>
    </w:p>
    <w:p>
      <w:r>
        <w:rPr>
          <w:b/>
        </w:rPr>
        <w:t xml:space="preserve">Quelle: </w:t>
      </w:r>
      <w:r>
        <w:t>https://mcp.opencaselaw.ch/entscheid/vd_gerichte_PE20.003655</w:t>
      </w:r>
    </w:p>
    <w:p>
      <w:r>
        <w:t>FR: VD_GERICHTE PE20.003655 du 12 juin 2020</w:t>
      </w:r>
    </w:p>
    <w:p>
      <w:r>
        <w:t>IT: VD_GERICHTE PE20.003655 del 12 giugno 2020</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une partie qui a qualité pour recourir (art. 382 al. 1 CPP), le recours de K.________ est recevable.</w:t>
      </w:r>
    </w:p>
    <w:p>
      <w:r>
        <w:t>- 4 -</w:t>
      </w:r>
    </w:p>
    <w:p>
      <w:r>
        <w:rPr>
          <w:b/>
        </w:rPr>
        <w:t>E. 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RSV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dès lors que le recours porte exclusivement sur les effets accessoires de l'ordonnance de non-entrée en matière du 14 avril 2020, à savoir le non-versement d’une indemnité au sens de l’art. 429 CPP, dont le montant réclamé est par ailleurs inférieur à 5'000 francs. Le recours relève donc de la compétence d'un juge unique de la Chambre des recours pénale (CREP 15 novembre 2018/893).</w:t>
      </w:r>
    </w:p>
    <w:p>
      <w:r>
        <w:rPr>
          <w:b/>
        </w:rPr>
        <w:t>E. 2.1</w:t>
      </w:r>
    </w:p>
    <w:p>
      <w:r>
        <w:t>Le recourant réclame une indemnité au sens de l’art. 429 al. 1 let. a CPP de 937 fr., frais et TVA compris. Il fait valoir que la procédure a duré près de quatre mois, que les accusations, peu étayées, pouvaient s’avérer complexes et que les faits qui lui étaient reprochés constituaient un cas de défense obligatoire dès lors qu’ils auraient pu entrer dans le cadre de l’infraction réprimée par l’art. 187 CP (Code pénal suisse du 21 décembre 1937 ; RS 311.0), de sorte que le recours à un avocat apparaissait à première vue opportun.</w:t>
      </w:r>
    </w:p>
    <w:p>
      <w:r>
        <w:rPr>
          <w:b/>
        </w:rPr>
        <w:t>E. 2.2.1</w:t>
      </w:r>
    </w:p>
    <w:p>
      <w:r>
        <w:t>A teneur de l'art. 429 al. 1 let. a CPP, si le prévenu est acquitté totalement ou en partie ou s'il bénéficie d'une ordonnance de classement, il a droit à une indemnité pour les dépenses occasionnées par l'exercice raisonnable de ses droits de procédure. Bien que cette disposition ne mentionne pas expressément l'ordonnance de non-entrée en matière (art. 310 CPP), une indemnité</w:t>
      </w:r>
    </w:p>
    <w:p>
      <w:r>
        <w:t>- 5 - selon l'art. 429 al. 1 CPP entre également en considération dans cette hypothèse (ATF 139 IV 241 consid. 1 ; TF 6B_478/2016 du 8 juin 2017). La non-entrée en matière constitue en effet une forme de « classement d’emblée » qui doit être assimilée à un classement après instruction (cf. art. 310 al. 2 CPP, qui renvoie aux dispositions sur le classement ; Mizel/Rétornaz, in : Jeanneret et al. [éd.], Commentaire romand, Code de procédure pénale suisse, Bâle 2019, n. 9 ad art. 429 CPP et la réf. citée). De même, la qualité de prévenu, et donc les droits qui en découlent, ne dépend pas de l'ouverture d'une instruction pénale, mais peut déjà résulter de l'existence d'une plainte ou d'une dénonciation (cf. art. 111 al. 1 CPP).</w:t>
      </w:r>
    </w:p>
    <w:p>
      <w:r>
        <w:rPr>
          <w:b/>
        </w:rPr>
        <w:t>E. 2.2.2</w:t>
      </w:r>
    </w:p>
    <w:p>
      <w:r>
        <w:t>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 citées).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op. cit., nn. 28 ss ad art. 429 CPP ; TF 6B_118/2016 du 20 mars 2017 consid. 3 ; TF 1B_475/2011 du 11 janvier 2012 consid. 2.2 et 2.3).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w:t>
      </w:r>
    </w:p>
    <w:p>
      <w:r>
        <w:rPr>
          <w:b/>
        </w:rPr>
        <w:t>E. 2.2.3</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w:t>
      </w:r>
    </w:p>
    <w:p>
      <w:r>
        <w:t>- 6 -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 TF 6B_938/2018 du 28 novembre 2018 consid. 1.1).</w:t>
      </w:r>
    </w:p>
    <w:p>
      <w:r>
        <w:rPr>
          <w:b/>
        </w:rPr>
        <w:t>E. 2.3</w:t>
      </w:r>
    </w:p>
    <w:p>
      <w:r>
        <w:t>En l’espèce, le recours à un avocat de choix était en l’occurrence raisonnable. La procédure a certes été brève et n’a pas nécessité de longues mesures d’instruction, ni l’intervention, outre la consultation du dossier, du défenseur mandaté par le recourant. Toutefois, celui-ci a été entendu en qualité de prévenu par la police pour répondre de graves accusations, et même si elles étaient peu étayées à ce stade, constitutives à tout le moins d’actes d’ordre sexuel avec des enfants. K.________ s’est par ailleurs dit profondément choqué par de telles accusations à son égard. Dans ces conditions, on ne saurait lui reprocher d’avoir consulté un avocat. Ainsi, le recourant avait droit à l’octroi d’une indemnité pour l’exercice raisonnable de ses droits de procédure de la part du Ministère public.</w:t>
      </w:r>
    </w:p>
    <w:p>
      <w:r>
        <w:rPr>
          <w:b/>
        </w:rPr>
        <w:t>E. 2.4</w:t>
      </w:r>
    </w:p>
    <w:p>
      <w:r>
        <w:t>Par économie de procédure, il n’y a pas lieu de renvoyer la cause au Ministère public pour qu’il fixe l’indemnité qu’il convient d’allouer au recourant. Le montant réclamé par celui-ci pour la procédure devant le Ministère public de 937 fr., TVA et débours compris, et dont les opérations sont décrites dans l’acte de recours (P. 13/1, p. 5), ne prête pas le flanc à</w:t>
      </w:r>
    </w:p>
    <w:p>
      <w:r>
        <w:t>- 7 - la critique. L’ordonnance attaquée sera donc réformée en ce sens qu’une telle indemnité sera allouée à K.________.</w:t>
      </w:r>
    </w:p>
    <w:p>
      <w:r>
        <w:rPr>
          <w:b/>
        </w:rPr>
        <w:t>E. 3</w:t>
      </w:r>
    </w:p>
    <w:p>
      <w:r>
        <w:t>En définitive, le recours doit être admis et l’ordonnance de non-entrée en matière attaquée réformée dans le sens des considérants qui précèdent, l’ordonnance étant maintenue pour le surplus. Les frais de la procédure de recours, constitués en l'espèce du seul émolument d'arrêt (art. 422 al. 1 CPP), par 630 fr. (art. 20 al. 1 TFIP [Tarif des frais de procédure et indemnités en matière pénale du 28 septembre 2010 ; BLV 312.03.1]), seront laissés à la charge de l’Etat. Le recourant, qui a procédé avec l’assistance d’un avocat de choix et qui a obtenu gain de cause, a droit à une indemnité pour les dépenses occasionnées par la procédure de recours (art. 429 al. 1 let. a CPP, applicable par renvoi de l’art. 436 al. 1 CPP). Il y a lieu de lui allouer le montant requis de 600 fr., TVA et débours compris, à la charge de l’Etat. Par ces motifs, le juge unique prononce : I. Le recours est admis. II. L’ordonnance de non-entrée en matière du 14 avril 2020 est réformée en ce sens qu’une indemnité de 937 fr. (neuf cent trente-sept francs) est allouée à K.________, à la charge de l’Etat. L’ordonnance est maintenue pour le surplus. III. Les frais d’arrêt, par 630 fr. (six cent trente francs), sont laissés à la charge de l’Etat. IV. Une indemnité de 600 fr. (six cents francs) est allouée à K.________ pour la procédure de recours, à la charge de l’Etat.</w:t>
      </w:r>
    </w:p>
    <w:p>
      <w:r>
        <w:t>- 8 - V. L’arrêt est exécutoire. Le juge unique : Le greffier : Du Le présent arrêt, dont la rédaction a été approuvée à huis clos, est notifié, par l'envoi d'une copie complète, à : - Me [...],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