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PE20.003533 vom 20. Juli 2021</w:t>
      </w:r>
    </w:p>
    <w:p>
      <w:r>
        <w:t>VD Tribunal cantonal, 2021-07-20, FR</w:t>
      </w:r>
    </w:p>
    <w:p>
      <w:r>
        <w:rPr>
          <w:b/>
        </w:rPr>
        <w:t xml:space="preserve">Quelle: </w:t>
      </w:r>
      <w:r>
        <w:t>https://mcp.opencaselaw.ch/entscheid/vd_gerichte_PE20.003533</w:t>
      </w:r>
    </w:p>
    <w:p>
      <w:r>
        <w:t>FR: VD_GERICHTE PE20.003533 du 20 juillet 2021</w:t>
      </w:r>
    </w:p>
    <w:p>
      <w:r>
        <w:t>IT: VD_GERICHTE PE20.003533 del 20 luglio 2021</w:t>
      </w:r>
    </w:p>
    <w:p>
      <w:pPr>
        <w:pStyle w:val="Heading2"/>
      </w:pPr>
      <w:r>
        <w:t>Erwägungen</w:t>
      </w:r>
    </w:p>
    <w:p>
      <w:r>
        <w:rPr>
          <w:b/>
        </w:rPr>
        <w:t>E. 1.1</w:t>
      </w:r>
    </w:p>
    <w:p>
      <w:r>
        <w:t>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(art. 410 al. 1 let. a CPP [Code de procédure pénale suisse du 5 octobre 2007 ; RS 312.0]). Dans cette hypothèse, la demande de révision n'est soumise à aucun délai (art. 411 al. 2 CPP).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w:t>
      </w:r>
    </w:p>
    <w:p>
      <w:r>
        <w:rPr>
          <w:b/>
        </w:rPr>
        <w:t>E. 1.2</w:t>
      </w:r>
    </w:p>
    <w:p>
      <w:r>
        <w:t>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[ci-après : Message], FF 2006 II 1057 ss, spéc. 1303). Les faits ou moyens de preuve sont nouveaux lorsque le juge</w:t>
      </w:r>
    </w:p>
    <w:p>
      <w:r>
        <w:t>- 4 -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favorable au condamné (ATF 145 IV 197 consid. 1.1 ; ATF 137 IV 59 précité consid. 5.1.4 ; TF 6B_731/2020 du 1er juillet 2020 consid. 2.1). Par fait, on entend les circonstances susceptibles d’être prises en considération dans l’état de fait qui fonde le jugement (ATF 141 IV 93 consid. 2.3). Le fait invoqué devait déjà exister avant l’entrée en force du premier jugement ; un fait postérieur à ce moment ne saurait entrer en considération (ATF 141 IV 349 consid. 2.2 ; TF 6B_836/2016 du 7 mars 2017 consid. 1.3.2 ; Message, p. 1304). Un fait survenu après le jugement dont la révision est demandée n’est pas considéré comme inconnu (ATF 145 IV 383 consid. 2.3 ; TF 6B_731/2020 du 1er juillet 2020 consid. 2.3). Un fait qui n’existait pas au moment du jugement et qui survient ensuite n’est pas nouveau. En revanche, le moyen de preuve découvert postérieurement au jugement et le fait qui existait déjà au moment du jugement mais qui n’a été révélé qu’ensuite, doivent être considéré comme nouveaux (TF 6B_455/2011 du 29 novembre 2011 consid. 1.3 ; Moreillon/Parein-Reymond, Petit commentaire, Code de procédure pénale, 2e éd., Bâle 2016, n. 19a ad art. 410 CPP). 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144 IV 121 consid. 1.8 ; ATF 143 IV 122 consid. 3.5 ; TF 6B_297/2020 du 10 juillet 2020 consid.</w:t>
      </w:r>
    </w:p>
    <w:p>
      <w:r>
        <w:t>- 5 - 1.1.2), ou encore lorsque la demande de révision apparaît abusive (TF 6B_813/2020 du 22 juillet 2020 consid. 1.1 ; TF 6B_297/2020 précité et les références citées ; TF 6B_324/2019 du 24 avril 2019 consid. 3.1 et les références citées). Le refus d'entrer en matière s'impose alors pour des motifs d'économie de procédure, car si la situation est évidente, il n'y a pas de raison que l'autorité requière des déterminations (art. 412 al. 3 CPP) pour ensuite rejeter la demande (art. 413 al. 1 CPP ; TF 6B_574/2019 du 9 septembre 2019 consid. 1.2.1 et les références citées). Le motif de révision d’emblée non vraisemblable se conçoit en lien avec l’examen des faits et des moyens de preuves invoqués à l’appui de la demande de révision.</w:t>
      </w:r>
    </w:p>
    <w:p>
      <w:r>
        <w:rPr>
          <w:b/>
        </w:rPr>
        <w:t>E. 1.3</w:t>
      </w:r>
    </w:p>
    <w:p>
      <w:r>
        <w:t>U.________ expose en substance que lors du jugement de juillet 2021, il était en instance de séparation, qu’aucune réconciliation n’était envisageable avec son épouse, qu’il ne voyait pas sa fille, laquelle n’avait pas encore été valablement reconnue par ses soins en Suisse, alors que cela avait été fait au Nigéria, et soutient que ces éléments ont pesé dans l’esprit du juge lorsqu’il a ordonné son expulsion de Suisse. En effet, il n’avait aucun avenir familial et professionnel en Suisse à sa sortie de prison. Il indique que « la situation a totalement changé depuis lors ». Il explique s’être réconcilié avec son épouse, la voir, avec leur fille, toutes les semaines en prison, précisant que la procédure de reconnaissance en Suisse de sa fille est en cours, et qu’il aurait une proposition d’emploi valable à sa sortie de prison. Ses perspectives en Suisse seraient ainsi bien meilleures aujourd’hui qu’en juillet dernier. En l’occurrence, la situation actuelle telle qu’exposée par le requérant met en avant des faits qui n’existaient pas le 10 juillet 2021 lorsque le Tribunal correctionnel de l’arrondissement de l’Est vaudois a rendu son jugement et prononcé l’expulsion du territoire suisse de l’intéressé pour une durée de six ans. Or, selon la jurisprudence précitée (cf. consid. 1.2 supra), un fait qui n’existait pas au moment du jugement et</w:t>
      </w:r>
    </w:p>
    <w:p>
      <w:r>
        <w:t>- 6 - qui survient ensuite n’est pas nouveau au sens de l’art. 410 al. 1 let. a CPP.</w:t>
      </w:r>
    </w:p>
    <w:p>
      <w:r>
        <w:rPr>
          <w:b/>
        </w:rPr>
        <w:t>E. 2</w:t>
      </w:r>
    </w:p>
    <w:p>
      <w:r>
        <w:t>Il résulte de ce qui précède que la demande de révision doit être déclarée irrecevable, sans échange d’écritures (art. 412 al. 2 CPP). La requête d’effet suspensif devient ainsi sans objet. Dans la mesure où la demande de révision apparaissait d'emblée dénuée de chances de succès, la requête d'assistance judiciaire de U.________ doit être rejetée. Les frais de la procédure de révision, constitués du seul émolument d'arrêt, par 550 fr. (art. 21 al. 1 et 22 TFIP [tarif des frais de procédure et indemnités en matière pénale du 28 septembre 2010 ; BLV 312.03.1]), seront mis à la charge du requérant, qui succombe (art. 428 al. 1, 2e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