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PE20.003495 vom 2. Juni 2020</w:t>
      </w:r>
    </w:p>
    <w:p>
      <w:r>
        <w:t>VD Tribunal cantonal, 2020-06-02, FR</w:t>
      </w:r>
    </w:p>
    <w:p>
      <w:r>
        <w:rPr>
          <w:b/>
        </w:rPr>
        <w:t xml:space="preserve">Quelle: </w:t>
      </w:r>
      <w:r>
        <w:t>https://mcp.opencaselaw.ch/entscheid/vd_gerichte_PE20.003495</w:t>
      </w:r>
    </w:p>
    <w:p>
      <w:r>
        <w:t>FR: VD_GERICHTE PE20.003495 du 2 juin 2020</w:t>
      </w:r>
    </w:p>
    <w:p>
      <w:r>
        <w:t>IT: VD_GERICHTE PE20.003495 del 2 giugno 2020</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Lembo/Julen Berthod, in : Jeanneret/Kuhn/Perrier Depeursinge [éd.], Code de procédure pénale suisse, Commentaire romand, 2e éd., Bâle 2019, n. 4 ad art. 267 CPP). Ce recours s’exerce par écrit dans les dix jours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Interjeté en temps utile par le prévenu, titulaire des plaques d’immatriculation séquestrées, qui a un intérêt juridique à l’annulation ou à la modification de l’ordonnance entreprise (art. 382 al. 1 CPP), et dans les formes prescrites (art. 385 al. 1 CPP), le recours est recevable.</w:t>
      </w:r>
    </w:p>
    <w:p>
      <w:r>
        <w:rPr>
          <w:b/>
        </w:rPr>
        <w:t>E. 2</w:t>
      </w:r>
    </w:p>
    <w:p>
      <w:r>
        <w:t>Le recourant soutient d’abord que les soupçons d’infraction seraient insuffisants à fonder le séquestre de ses plaques d’immatriculation; il considère ainsi que le séquestre ordonné serait disproportionné dans ces circonstances. Il invoque ensuite une violation de son droit d’être entendu, moyen pris du fait qu’il n’a pas encore pu consulter le dossier de la cause.</w:t>
      </w:r>
    </w:p>
    <w:p>
      <w:r>
        <w:rPr>
          <w:b/>
        </w:rPr>
        <w:t>E. 3</w:t>
      </w:r>
    </w:p>
    <w:p>
      <w:r>
        <w:t>- 5 -</w:t>
      </w:r>
    </w:p>
    <w:p>
      <w:r>
        <w:rPr>
          <w:b/>
        </w:rPr>
        <w:t>E. 3.1.1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141 IV 360 consid. 3.2; voir les arrêts cités par Lembo/Julen Berthod, op. cit., n. 25 ad art. 263 CPP).</w:t>
      </w:r>
    </w:p>
    <w:p>
      <w:r>
        <w:rPr>
          <w:b/>
        </w:rPr>
        <w:t>E. 3.1.2</w:t>
      </w:r>
    </w:p>
    <w:p>
      <w:r>
        <w:t>Le séquestre en vue de confiscation, prévu par l’art. 263 al. 1 let. d CPP, est une mesure conservatoire provisoire –</w:t>
      </w:r>
    </w:p>
    <w:p>
      <w:r>
        <w:t>- 6 - destinée à préserver les objets ou les valeurs que le juge du fond pourrait être amené à confisquer – fondée sur la vraisemblance et se justifie aussi longtemps qu'une simple possibilité de confiscation en application du Code pénal (art. 69 CP) semble, prima facie, subsister.</w:t>
      </w:r>
    </w:p>
    <w:p>
      <w:r>
        <w:rPr>
          <w:b/>
        </w:rPr>
        <w:t>E. 3.2.1</w:t>
      </w:r>
    </w:p>
    <w:p>
      <w:r>
        <w:t>En l’espèce, le prévenu relève qu’il se serait limité, le 28 avril 2020, à circuler sur le chemin privé débouchant de et vers son domicile, afin de libérer le passage au garage lors d’une livraison, et qu’il n’aurait donc pas conduit son véhicule sur la voie publique (recours, ch. 1b, p. 5). Il soutient en outre que les indications données à la police quant au fait qu’il aurait circulé sans permis pourraient constituer des « agissements contraires à la bonne foi de la part de voisins malintentionnés », de sorte qu’il n’y aurait pas de soupçons suffisants au sens de l’art. 197 al. 1 let. a CPP (recours, ch. 1b, p. 5). De son propre aveu (recours, ch. 1b, p. 5) et comme cela ressort du rapport de police relatif aux événements du 24 février 2020, le recourant a été impliqué dans un conflit de voisinage. Il ressort du rapport de police relatif aux événements du 28 avril 2020, plus particulièrement de la déclaration du recourant aux gendarmes qui l’ont interpellé, que l’intéressé avait l’intention de « faire tourner [s]a voiture » et qu’il se trouvait au débouché de la route cantonale, à environ 100 mètres de son lieu de domicile. Si une rumeur avait été colportée par des tiers malintentionnés, elle ne changerait rien au fait que la gendarmerie a constaté elle-même l’infraction.</w:t>
      </w:r>
    </w:p>
    <w:p>
      <w:r>
        <w:rPr>
          <w:b/>
        </w:rPr>
        <w:t>E. 3.2.2</w:t>
      </w:r>
    </w:p>
    <w:p>
      <w:r>
        <w:t>L'art. 1 al. 2 de l'ordonnance sur les règles de la circulation routière (OCR; RS 741.11) prévoit que sont publiques les routes qui ne servent pas exclusivement à l'usage privé. Dans le cas particulier, le fait que le prévenu ait parcouru une distance d’une centaine de mètres sur un chemin, fût-il privé, ne change rien à l’application des règles de la LCR (Loi fédérale sur la circulation routière; RS 741.01), à partir du moment où la chaussée est ouverte au</w:t>
      </w:r>
    </w:p>
    <w:p>
      <w:r>
        <w:t>- 7 - public (Bussy/Rusconi/Jeanneret/Kuhn/Mizel/ Müller, Code suisse de la circulation routière [CSCR], 4e éd., Bâle 2015, n. 2.1 ad art. 1 LCR et les réf. citées, spéc. JdT 1976 I 386 ss, ch. 1; TF 6B_847/2011 du 21 août 2012 consid. 2.2, confirmé par TF 6B_1131/2018 du 21 janvier 2019 consid. 1.1). Pour déterminer si une voie doit être qualifiée de publique au sens de la LCR – et par conséquent si cette loi trouve application –, il convient de tenir compte de son utilisation effective. La voie est publique dès qu'elle peut être parcourue par un cercle indéterminé de personnes, cela même si son utilisation est réservée à certains buts déterminés – par exemple l'accès à une école ou à une église – puisque, même dans un tel cas, le cercle d'usagers reste indéterminé (TF 6B_1131/2018 du 21 janvier 2019, précité, ibid.). Cette condition d’usage général de la voie de circulation étant remplie dans le cas particulier, la LCR est applicable. Dès lors, la conduite, par le recourant, d’un véhicule automobile nonobstant un retrait de permis démontre, en l’état, que les soupçons d’infractions répétées à l’interdiction de conduire (cf. art. 96 al. 1 let. a LCR) sont suffisants au sens de l’art. 197 al. 1 let. b CPP, tout au moins à ce stade précoce de l’enquête.</w:t>
      </w:r>
    </w:p>
    <w:p>
      <w:r>
        <w:rPr>
          <w:b/>
        </w:rPr>
        <w:t>E. 3.2.3</w:t>
      </w:r>
    </w:p>
    <w:p>
      <w:r>
        <w:t>Quant à la proportionnalité du séquestre (cf. art. 197 al. 1 let. c et d CPP), le recourant n’allègue pas que le véhicule en question et ses plaques d’immatriculation seraient utilisés par une autre personne qui en aurait un besoin impérieux, notamment à des fins professionnelles. Par ailleurs, il ne justifie nullement le besoin des plaques. Le séquestre apparaît parfaitement proportionné, dans la mesure où cette mesure est apte à produire les résultats escomptés, ceux-ci ne pouvant au demeurant pas être atteints par une mesure moins incisive. L’ordonnance échappe donc à toute critique sous cet angle.</w:t>
      </w:r>
    </w:p>
    <w:p>
      <w:r>
        <w:rPr>
          <w:b/>
        </w:rPr>
        <w:t>E. 3.2.4</w:t>
      </w:r>
    </w:p>
    <w:p>
      <w:r>
        <w:t>Par ailleurs, le recourant ne conteste pas que la motivation de l’ordonnance, déduite des art. 69 CP et 263 al. 1 let. d CPP, satisfasse aux exigences de l’art. 263 al. 2 CPP.</w:t>
      </w:r>
    </w:p>
    <w:p>
      <w:r>
        <w:rPr>
          <w:b/>
        </w:rPr>
        <w:t>E. 4</w:t>
      </w:r>
    </w:p>
    <w:p>
      <w:r>
        <w:t>- 8 -</w:t>
      </w:r>
    </w:p>
    <w:p>
      <w:r>
        <w:rPr>
          <w:b/>
        </w:rPr>
        <w:t>E. 4.1</w:t>
      </w:r>
    </w:p>
    <w:p>
      <w:r>
        <w:t>Cela étant, le recourant invoque également une violation de son droit d’être entendu, moyen pris que l’accès au dossier lui a été refusé selon l’art. 101 al. 1 in fine CPP; il ajoute que son audition n’est prévue que pour le 23 juin 2020. Il soutient que son droit d’être entendu serait violé du fait que l’accès au dossier lui ait été refusé alors même que le prévenu fait l’objet d’une mesure de contrainte; le fait de ne pas avoir pu consulter le dossier l’empêcherait de se défendre de manière appropriée et conforme aux garanties procédurales contenues dans le CPP (recours, ch. 2b et 2c, p. 7).</w:t>
      </w:r>
    </w:p>
    <w:p>
      <w:r>
        <w:rPr>
          <w:b/>
        </w:rPr>
        <w:t>E. 4.2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Cette disposition prévoit, à son alinéa 1, que les autorités pénales peuvent restreindre le droit d’une partie à être entendue (a) lorsqu’il y a de bonnes raisons de soupçonner que cette partie abuse de ses droits ou (b) lorsque cela est nécessaire pour assurer la sécurité de personnes ou pour protéger des intérêts publics ou privés au maintien du secret. Les restrictions sont limitées temporairement ou à des actes de procédure déterminés (art. 108 al. 3 CPP).</w:t>
      </w:r>
    </w:p>
    <w:p>
      <w:r>
        <w:rPr>
          <w:b/>
        </w:rPr>
        <w:t>E. 4.3</w:t>
      </w:r>
    </w:p>
    <w:p>
      <w:r>
        <w:t>Ainsi, le droit de consulter le dossier peut être limité avant la première audition du prévenu, sous réserve de l'hypothèse prévue à l'art. 225 al. 2 CPP ayant trait à la consultation du dossier en matière de détention provisoire, qui n’est évidemment pas en cause ici.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(BO 2007 CN 949/950). La consultation du dossier par le prévenu avant sa première audition par la police n'est donc pas garantie par le Code de procédure pénale, même</w:t>
      </w:r>
    </w:p>
    <w:p>
      <w:r>
        <w:t>- 9 -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(ATF 137 IV 172 consid. 2.3 et les réf. citées).</w:t>
      </w:r>
    </w:p>
    <w:p>
      <w:r>
        <w:rPr>
          <w:b/>
        </w:rPr>
        <w:t>E. 4.4</w:t>
      </w:r>
    </w:p>
    <w:p>
      <w:r>
        <w:t>Le recourant se prévaut cependant d’un arrêt du Tribunal fédéral (TF 1B_597/2011 du 7 février 2012), dont il déduit que l’autorité compétente ne saurait différer indéfiniment la consultation du dossier en se fondant sur l’art. 101 al. 1 CPP mais doit établir que l’accès au dossier est susceptible de compromettre l’instruction et exposer les preuves importantes qui doivent être administrées auparavant (recours, ch. 2a, p.</w:t>
      </w:r>
    </w:p>
    <w:p>
      <w:r>
        <w:rPr>
          <w:b/>
        </w:rPr>
        <w:t>E. 4.5</w:t>
      </w:r>
    </w:p>
    <w:p>
      <w:r>
        <w:t>Le recourant sollicite la portée de la jurisprudence dont il se prévaut. En effet, l’arrêt du 7 février 2012 se limite à rappeler, en substance, que le Ministère public doit motiver son refus par des motifs établissant que l'accès au dossier est susceptible de compromettre l'instruction et exposer les preuves qui doivent être administrées auparavant, étant précisé que la pratique qui prévalait sous l'empire des anciennes lois de procédure et qui a inspiré l'art. 101 al. 1 CPP n'admettaient la consultation du dossier qu'à la condition que l'instruction n'en soit pas compromise (arrêt précité, consid. 2.2). Or, ici, l’ordonnance attaquée ne porte que sur un séquestre. Elle n’a pas pour objet une restriction, justifiée ou non, à l’accès au dossier de la procédure ouverte le 24 février 2020, droit dont rien ne permet de supposer que la Procureure entende par avance priver le prévenu. Donner par principe accès au prévenu au dossier avant la première audition en cas de séquestre reviendrait à vider de sa teneur l’art. 101 al. 1 CPP dès qu’une mesure de contrainte serait prononcée, ce que le Tribunal fédéral n’impose pas. Bien plutôt, les règles à suivre quant aux garanties procédurales formelles sont celles applicables à chaque décision de contrainte, soit, ici, exclusivement celles régissant le séquestre, régies en particulier par les art. 197 et 263 CPP. Or, comme déjà relevé, la</w:t>
      </w:r>
    </w:p>
    <w:p>
      <w:r>
        <w:t>- 10 - proportionnalité de la mesure de contrainte est donnée, tout comme la motivation de l’ordonnance qui est suffisante au regard des exigences en la matière. 5. En définitive,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5 mai 2020 est confirmée. III. Les frais d’arrêt, par 880 fr. (huit cent huitante francs), sont mis à la charge de J.________. IV. L’arrêt est exécutoire. Le président : Le greffier : Du Le présent arrêt, dont la rédaction a été approuvée à huis clos, est notifié, par l'envoi d'une copie complète, à : - Me Nicole Schmutz Larequi, avocate (pour J.________),</w:t>
      </w:r>
    </w:p>
    <w:p>
      <w:r>
        <w:t>- 11 -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