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PE20.003413 vom 25. Mai 2020</w:t>
      </w:r>
    </w:p>
    <w:p>
      <w:r>
        <w:t>VD Tribunal cantonal, 2020-05-25, FR</w:t>
      </w:r>
    </w:p>
    <w:p>
      <w:r>
        <w:rPr>
          <w:b/>
        </w:rPr>
        <w:t xml:space="preserve">Quelle: </w:t>
      </w:r>
      <w:r>
        <w:t>https://mcp.opencaselaw.ch/entscheid/vd_gerichte_PE20.003413</w:t>
      </w:r>
    </w:p>
    <w:p>
      <w:r>
        <w:t>FR: VD_GERICHTE PE20.003413 du 25 mai 2020</w:t>
      </w:r>
    </w:p>
    <w:p>
      <w:r>
        <w:t>IT: VD_GERICHTE PE20.003413 del 25 maggio 2020</w:t>
      </w:r>
    </w:p>
    <w:p>
      <w:pPr>
        <w:pStyle w:val="Heading2"/>
      </w:pPr>
      <w:r>
        <w:t>Erwägungen</w:t>
      </w:r>
    </w:p>
    <w:p>
      <w:r>
        <w:rPr>
          <w:b/>
        </w:rPr>
        <w:t>E. 3</w:t>
      </w:r>
    </w:p>
    <w:p>
      <w:r>
        <w:t>En définitive, le recours, manifestement mal fondé, doit être rejeté sans échange d’écritures (art. 390 al. 2 CPP) et l’ordonnance du 17 avril 2020 concernant la plainte de T.________ confirmée. Les frais de la procédure de recours, par 880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17 avril 2020 relative à la plainte déposée par T.________ contre Q.________ est confirmée. III. Les frais d'arrêt, par 880 fr. (huit cent huitante francs), sont mis à la charge de T.________. IV. L’arrêt est exécutoire. Le président : La greffière : Du Le présent arrêt, dont la rédaction a été approuvée à huis clos, est notifié, par l'envoi d'une copie complète, à : - Me Germain Quach, avocat (pour T.________), - M. Q.________, - Ministère public central;</w:t>
      </w:r>
    </w:p>
    <w:p>
      <w:r>
        <w:t>- 9 -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