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PE20.003343 vom 2. Dezember 2024</w:t>
      </w:r>
    </w:p>
    <w:p>
      <w:r>
        <w:t>VD Tribunal cantonal, 2024-12-02, FR</w:t>
      </w:r>
    </w:p>
    <w:p>
      <w:r>
        <w:rPr>
          <w:b/>
        </w:rPr>
        <w:t xml:space="preserve">Quelle: </w:t>
      </w:r>
      <w:r>
        <w:t>https://mcp.opencaselaw.ch/entscheid/vd_gerichte_PE20.003343</w:t>
      </w:r>
    </w:p>
    <w:p>
      <w:r>
        <w:t>FR: VD_GERICHTE PE20.003343 du 2 décembre 2024</w:t>
      </w:r>
    </w:p>
    <w:p>
      <w:r>
        <w:t>IT: VD_GERICHTE PE20.003343 del 2 dicembre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l’issue de l’appel, les frais d’appel seront mis à la charge de l’appelant, qui succombe (art. 428 al. 1, 1re phrase, CPP). Outre l’émolument (art. 21 al. 1 et 2 TFIP [tarif des frais de procédure et indemnités en matière pénale du 28 septembre 2010 ; RSV 312.03.1]), par 2’790 fr., les frais d’appel comprennent l’indemnité allouée au défenseur d’office de l’appelant (art. 422 al. 2 let. a CPP). L’indemnité doit être arrêtée sur la base de la liste d’opérations produite après l’audience d’appel (P. 79/2), à cette réserve près que le poste intitulé « Recherches juridiques et rédaction d’un projet de Déclaration d’appel motivée » doit être ramené de sept à trois heures, s’agissant d’un dossier de complexité seulement moyenne et déjà connu pour avoir été plaidé en première instance ; qui plus est, un poste ultérieur portant sur un objet analogue, intitulé « Modification du projet d’Appel suite aux remarques du client et finalisation pour envoi », est entièrement retenu, soit à raison d’une heure et 20 minutes. La durée d’activité d’avocat breveté à prendre en compte est ainsi de 16 heures et 34 minutes, y compris celle de l’audience d’appel. Au tarif de 180 fr. de l’heure, le total des opérations retenues correspond ainsi à des honoraires nets de 2'982 francs. A ces honoraires, il convient d’ajouter des débours forfaitaires à concurrence de 2 % (art. 3bis al. 1 RAJ [règlement du 7 décembre 2010 sur l'assistance judiciaire en matière civile ; BLV 211.02.3], applicable par renvoi de l’art. 26b TFIP). Aux honoraires bruts doit être ajoutée une vacation forfaitaire de 120 fr., pour l’audience d’appel, ainsi que la TVA. L’indemnité s’élève donc à 3'417 fr. 75, débours et TVA compris.</w:t>
      </w:r>
    </w:p>
    <w:p>
      <w:r>
        <w:t>- 27 - L’appelant est tenu de rembourser l’indemnité ci-dessus dès que sa situation financière le permettra (art. 135 al. 4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