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PE20.003297 vom 13. Mai 2020</w:t>
      </w:r>
    </w:p>
    <w:p>
      <w:r>
        <w:t>VD Tribunal cantonal, 2020-05-13, FR</w:t>
      </w:r>
    </w:p>
    <w:p>
      <w:r>
        <w:rPr>
          <w:b/>
        </w:rPr>
        <w:t xml:space="preserve">Quelle: </w:t>
      </w:r>
      <w:r>
        <w:t>https://mcp.opencaselaw.ch/entscheid/vd_gerichte_PE20.003297</w:t>
      </w:r>
    </w:p>
    <w:p>
      <w:r>
        <w:t>FR: VD_GERICHTE PE20.003297 du 13 mai 2020</w:t>
      </w:r>
    </w:p>
    <w:p>
      <w:r>
        <w:t>IT: VD_GERICHTE PE20.003297 del 13 maggio 2020</w:t>
      </w:r>
    </w:p>
    <w:p>
      <w:pPr>
        <w:pStyle w:val="Heading2"/>
      </w:pPr>
      <w:r>
        <w:t>Erwägungen</w:t>
      </w:r>
    </w:p>
    <w:p>
      <w:r>
        <w:rPr>
          <w:b/>
        </w:rPr>
        <w:t>E. 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t>- 6 - Interjeté en temps utile et dans les formes prescrites (art. 385 al. 1 CPP) auprès de l’autorité compétente, par la partie plaignante qui a qualité pour recourir (art. 382 al. 1 CPP), le recours est recevable.</w:t>
      </w:r>
    </w:p>
    <w:p>
      <w:r>
        <w:rPr>
          <w:b/>
        </w:rPr>
        <w:t>E. 2</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6B_427/2017 du 15 novembre 2017 consid. 2.1). Selon la jurisprudence, cette disposition doit être appliquée conformément à l'adage « in dubio pro duriore ». Celui-ci découle du principe de la légalité (art. 5 al. 1 Cst. [Constitution fédérale de la Confédération suisse du 18 avril 1999 ; RS 101] et 2 al. 1 CPP en relation avec les art. 309 al. 1, 319 al. 1 et 324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En d'autres termes, il faut être certain que l'état de fait ne constitue aucune infraction. Une ordonnance de non-entrée en matière ne peut être rendue que dans les cas clairs du point de vue des faits, mais également du droit ; en cas de doute sur l’un de ces deux plans, et donc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JdT 2017 IV 357 ; ATF 138 IV 86 consid. 4.1.2 ; ATF 137 IV 285 consid. 2.3 et les références citées, JdT 2012 IV 160 ; TF 6B_1279/2018 du 26 mars 2019 consid. 2.1). En revanche, le Ministère public doit pouvoir rendre une ordonnance de non-entrée en matière dans les cas où il apparaît d’emblée qu’aucun acte d’enquête ne pourra</w:t>
      </w:r>
    </w:p>
    <w:p>
      <w:r>
        <w:t>- 7 - apporter la preuve d’une infraction à la charge d’une personne déterminée (TF 6B_541/2017 du 20 décembre 2017 consid. 2.2).</w:t>
      </w:r>
    </w:p>
    <w:p>
      <w:r>
        <w:rPr>
          <w:b/>
        </w:rPr>
        <w:t>E. 3.1</w:t>
      </w:r>
    </w:p>
    <w:p>
      <w:r>
        <w:t>A l’appui de son recours, le recourant précise qu’il n’invoquerait pas un comportement astucieux de l’intimée en lien avec l’établissement des reconnaissances de dette, mais en lien avec leur production en justice, à l’appui du séquestre requis et obtenu sur l’immeuble de Lutry, faisant valoir qu’Y.________ aurait expressément renoncé aux créances qu’elles contenaient ; elle se serait engagée, en présence d’un témoin, à détruire lesdites reconnaissances de dette pour le cas où elle les retrouverait, puisqu’elle aurait indiqué les avoir perdues. Il invoque à cet égard une constatation inexacte et incomplète des faits, de même qu’une violation du droit.</w:t>
      </w:r>
    </w:p>
    <w:p>
      <w:r>
        <w:rPr>
          <w:b/>
        </w:rPr>
        <w:t>E. 3.2</w:t>
      </w:r>
    </w:p>
    <w:p>
      <w:r>
        <w:t>Selon l’art. 146 al. 1 CP (Code pénal suisse du 21 décembre 1937 ; RS 311.0),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Sur le plan objectif, la réalisation de l’escroquerie suppose une tromperie, une astuce, une induction en erreur, un acte de disposition et un dommage, ainsi qu’un lien de causalité entre les éléments qui précèdent (Dupuis et al. [éd.], Code pénal, Petit commentaire, 2e éd., Bâle 2017, n. 1 ad art. 146 CP).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w:t>
      </w:r>
    </w:p>
    <w:p>
      <w:r>
        <w:t>- 8 - des circonstances, qu'elle renoncera à le faire en raison d'un rapport de confiance particulier (ATF 142 IV 153 consid. 2.2.2, JdT 2017 IV 75 ; ATF 135 IV 76 consid. 5.2, JdT 2010 I 676 ; TF 6B_446/2018 du 17 juillet 2018 consid. 2.1 et les réf. citées).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(ATF 142 IV 153 ; ATF 135 IV 76 consid. 5.2 ; ATF 133 IV 256 consid. 4.4.3 ; ATF 128 IV 18 consid. 3a).</w:t>
      </w:r>
    </w:p>
    <w:p>
      <w:r>
        <w:rPr>
          <w:b/>
        </w:rPr>
        <w:t>E. 3.3</w:t>
      </w:r>
    </w:p>
    <w:p>
      <w:r>
        <w:t>Ce qu'on appelle communément « escroquerie au procès » est compris sans autre dans la définition générale de l'escroquerie ; se rend coupable d'escroquerie celui qui, par une tromperie astucieuse, amène le tribunal à trancher en défaveur de la partie adverse (ATF 122 IV 197 consid. 2). Une simple indication fausse, dont la partie adverse peut contrôler l'exactitude sans grande peine, n'est pas à elle seule astucieuse ; le procédé auquel l'auteur a recours doit apparaître comme une machination (ATF 122 IV 197 consid. 3d). Taire un fait revient, bien souvent, à faire croire qu'il n'existe pas. La question est délicate de savoir s'il suffit, pour qu'il y ait tromperie, que l'auteur, sans faire aucune déclaration en relation avec le sujet, ne révèle pas spontanément la vérité. Que l'on admette que la tromperie peut résulter d'une omission ou que l'on veuille y voir une forme de commission, un devoir de parler découlant de la loi, du contrat ou de la bonne foi – ce dernier cas se rapprochant de la notion de position de garant – est en tous cas nécessaire.</w:t>
      </w:r>
    </w:p>
    <w:p>
      <w:r>
        <w:rPr>
          <w:b/>
        </w:rPr>
        <w:t>E. 3.4</w:t>
      </w:r>
    </w:p>
    <w:p>
      <w:r>
        <w:t>En l’espèce, à juste titre, le recourant ne conteste pas – au stade du recours à tout le moins – être l’auteur des reconnaissances de dette litigieuses, ni d’ailleurs le montant de celles-ci, ayant même précisé, s’agissant de la deuxième, que le montant de 300’00 fr. ne lui avait pas paru exorbitant sur le moment.</w:t>
      </w:r>
    </w:p>
    <w:p>
      <w:r>
        <w:t>- 9 - Quand bien même le recourant semble aujourd’hui invoquer uniquement une escroquerie au procès et critiquer le fait que l’ordonnance attaquée examine la question des rapports des parties sous l’angle de la vraisemblance du fondement de la créance déduite devant la justice civile, on relèvera que la plainte pouvait laisser penser que le fondement des créances était contesté, dès lors que le plaignant mettait en avant, en substance, le fait qu’Y.________ aurait abusé de l’amour qu’il lui portait pour lui faire signer, en particulier, une reconnaissance de dette de 300'000 francs (cf. P. 5). A cet égard, c’est donc à juste titre que le Ministère public a constaté que ni les allégations du recourant ni le résultat de l’investigation préalable ne permettaient de mettre en évidence un quelconque comportement astucieux d’Y.________ au moment de l’établissement des reconnaissances de dette litigieuses. Au demeurant, on rappellera que, comme l’admet d’ailleurs le recourant (P. 9/1, p. 5), l’intimée disposait des moyens de lui avancer 320'000 fr., la somme étant disponible sur son compte bancaire dès les débuts de leur relation. Avec le recourant, on peut constater que l’ordonnance attaquée ne retient pas qu’Y.________ aurait dit au recourant qu’elle avait perdu les reconnaissances de dette litigieuses, ce qu’elle a admis à l’occasion de son audition et qui sera donc retenu. Toutefois, même à la lumière de cet élément, l’instruction ne livre pas le moindre indice quant au fait que les titres auraient été produits astucieusement à l’appui de la requête de séquestre. Le recourant fait valoir que la destruction des reconnaissances de dette aurait été annoncée devant témoin par l’intimée, ce qui accréditerait la thèse d’une renonciation d’Y.________ aux dites créances. Or, le témoignage en question, outre que son contenu est expressément contesté par Y.________, est daté du mois de novembre 2018, soit juste un mois après la requête de séquestre déposée par la créancière en octobre 2018. Ce témoignage apparaît donc bien avoir été établi à la demande du recourant pour les besoins de sa cause, soit la procédure d’opposition au séquestre qu’il avait alors entamée. Au demeurant, même si l’on pouvait accorder du crédit à ce témoignage, le fait que l’intéressée ait pu déclarer qu’elle détruirait ces reconnaissances</w:t>
      </w:r>
    </w:p>
    <w:p>
      <w:r>
        <w:t>- 10 - de dette pour le cas où elle les retrouverait, n’est pas déterminant. En effet, de telles déclarations – qui pourraient tout au plus être qualifiées de simple mensonge – ne constitueraient de toute évidence pas une tromperie astucieuse au sens de l’art. 146 CP et la question de savoir si les créances dont font état les reconnaissances de dette ont été annulées, compensées ou éteintes d’une autre manière ressortit exclusivement à la justice civile. En définitive, il n’existe pas d’indice suffisant au dossier pour qu’une instruction pénale soit ouverte. Aucune mesure d’instruction ne permettrait d’apporter la preuve de la commission d’une infraction au détriment du recourant et le litige est manifestement de nature purement civile. C'est donc à juste titre que le Procureur a rendu une ordonnance de non-entrée en matière.</w:t>
      </w:r>
    </w:p>
    <w:p>
      <w:r>
        <w:rPr>
          <w:b/>
        </w:rPr>
        <w:t>E. 5</w:t>
      </w:r>
    </w:p>
    <w:p>
      <w:r>
        <w:t>Il s’ensuit que le recours, manifestement mal fondé, doit être rejeté, sans échange d’écritures (art. 390 al. 2 CPP) et l’ordonnance entreprise confirmée. Vu l’issue de la cause, les frais de la procédure de recours, constitués du seul émolument d’arrêt, par 990 fr. (art. 20 al. 1 TFIP [Tarif des frais de procédure et indemnités en matière pénale du 28 septembre 2010 ; BLV 312.03.1]), seront mis à la charge du recourant, qui succombe (art. 428 al. 1 CPP).</w:t>
      </w:r>
    </w:p>
    <w:p>
      <w:r>
        <w:t>- 11 - Par ces motifs, la Chambre des recours pénale prononce : I. Le recours est rejeté. II. L’ordonnance du 28 février 2020 est confirmée. III. Les frais d’arrêt, par 990 fr. (neuf cent nonante francs), sont mis à la charge du recourant. IV. L’arrêt est exécutoire. Le président : La greffière : Du Le présent arrêt, dont la rédaction a été approuvée à huis clos, est notifié, par l'envoi d'une copie complète, à : - Me Laurent Roulier, avocat (pour X.________), - Me Sarah Perrier, avocate (pour Y.________), - Ministère public central, et communiqué à : - M. le Procureur de l’arrondissement de l’Est vaudois, par l’envoi de photocopies.</w:t>
      </w:r>
    </w:p>
    <w:p>
      <w:r>
        <w:t>- 12 -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