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PE20.003057 vom 6. Juli 2020</w:t>
      </w:r>
    </w:p>
    <w:p>
      <w:r>
        <w:t>VD Tribunal cantonal, 2020-07-06, FR</w:t>
      </w:r>
    </w:p>
    <w:p>
      <w:r>
        <w:rPr>
          <w:b/>
        </w:rPr>
        <w:t xml:space="preserve">Quelle: </w:t>
      </w:r>
      <w:r>
        <w:t>https://mcp.opencaselaw.ch/entscheid/vd_gerichte_PE20.003057</w:t>
      </w:r>
    </w:p>
    <w:p>
      <w:r>
        <w:t>FR: VD_GERICHTE PE20.003057 du 6 juillet 2020</w:t>
      </w:r>
    </w:p>
    <w:p>
      <w:r>
        <w:t>IT: VD_GERICHTE PE20.003057 del 6 luglio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une partie qui a qualité pour recourir (art. 382 al. 1 CPP), le recours de M.________ est recevable.</w:t>
      </w:r>
    </w:p>
    <w:p>
      <w:r>
        <w:rPr>
          <w:b/>
        </w:rPr>
        <w:t>E. 2.1</w:t>
      </w:r>
    </w:p>
    <w:p>
      <w:r>
        <w:t>Le recourant invoque en premier lieu une violation de son droit d’être entendu. Il fait valoir que, dans ses déterminations spontanées du 26 mai 2020, il concluait à sa libération et à l’allocation d’une indemnité qu’il chiffrerait ultérieurement et que, contre toute attente, la Procureure avait rendu sa décision sans lui laisser la possibilité de produire ses notes d’honoraires.</w:t>
      </w:r>
    </w:p>
    <w:p>
      <w:r>
        <w:rPr>
          <w:b/>
        </w:rPr>
        <w:t>E. 2.2</w:t>
      </w:r>
    </w:p>
    <w:p>
      <w:r>
        <w:t>Selon une jurisprudence constante du Tribunal fédéral, le droit d’être entendu n’est pas garanti dans le cadre de l’ordonnance de non- entrée en matière. Ainsi, avant de rendre une telle ordonnance, le Ministère public n’a pas à informer les parties ou à leur fixer un délai pour présenter d’éventuelles réquisitions, le droit d’être entendu pouvant s’exercer au moyen du recours (TF 6B_276/2017 du 12 juillet 2017 consid.</w:t>
      </w:r>
    </w:p>
    <w:p>
      <w:r>
        <w:rPr>
          <w:b/>
        </w:rPr>
        <w:t>E. 2.3</w:t>
      </w:r>
    </w:p>
    <w:p>
      <w:r>
        <w:t>En l’espèce, comme exposé, sur le principe, le Ministère public ne devait pas informer les parties, et en particulier le recourant, du fait qu’il se proposait de rendre une ordonnance de non-entrée en matière, ni ne devait leur impartir de délai en relation avec cette ordonnance, le droit d’être entendu étant assuré dans le cadre de la procédure de recours. Au demeurant, même s’il fallait suivre la doctrine précitée, il faudrait constater que la cour de céans, vu son pouvoir d’examen complet, peut guérir le vice en cause (cf. infra consid. 3). Le grief doit être rejeté. 3. 3.1 Le recourant soutient qu’il est possible d’allouer une indemnité sur la base de l’art. 429 al. 1 let. a CPP lorsqu’une ordonnance de non- entrée en matière est rendue, et que l’intervention d’un conseil s’inscrivait dans l’exercice raisonnable des droits de procédure au sens de cette disposition, sa cause présentant des difficultés en fait et en droit. 3.2 3.2.1 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CPP entre également en considération dans cette hypothèse (ATF 139 IV 241 consid. 1 ; cf. aussi ATF 143 IV 339). La non- entrée en matière constitue en effet une forme de « classement d’emblée » qui doit être assimilée à un classement après instruction (cf. art. 310 al. 2 CPP, qui renvoie aux dispositions sur le classement ; Mizel/Rétornaz, in : Jeanneret et al. [éd.], Commentaire romand, Code de procédure pénale suisse, Bâle 2019, n. 9 ad art. 429 CPP et la réf. citée). De même, la qualité de prévenu, et donc les droits qui en découlent, ne dépend pas de l'ouverture d'une instruction pénale, mais peut déjà</w:t>
      </w:r>
    </w:p>
    <w:p>
      <w:r>
        <w:t>- 6 - résulter de l'existence d'une plainte ou d'une dénonciation (cf. art. 111 al. 1 CPP). 3.2.2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(ATF 144 IV 207 consid. 1.3.1, JdT 2018 IV 292).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op. cit., nn. 28 ss ad art. 429 CPP ; TF 6B_118/2016 du 20 mars 2017 consid. 3 ; TF 1B_475/2011 du 11 janvier 2012 consid. 2.2 et 2.3).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 En revanche, si le prévenu ne réagit pas après avoir été interpellé conformément à l’art. 429 al. 2 CPP on peut déduire qu’il entend renoncer à une indemnité (TF 6B_1172/2015 du 8 février 2016 consid. 2.2). 3.2.3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w:t>
      </w:r>
    </w:p>
    <w:p>
      <w:r>
        <w:t>- 7 -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 TF 6B_938/2018 du 28 novembre 2018 consid. 1.1). 3.3 Au vu de la jurisprudence mentionnée ci-dessus, on peut donner acte au recourant qu’une ordonnance de non-entrée en matière n’exclut pas, si les conditions sont remplies, l’allocation d’une indemnité au sens de l’art. 429 CPP. En l’occurrence, il convient de relever que la plainte déposée contre M.________ par son supérieur S.________ s’inscrivait dans un contexte tout à fait particulier, notamment en raison de l’enquête interne sollicitée par la cheffe de service des ressources humaines de la Commune de [...], qui a débouché sur un rapport d’audit du 10 décembre 2019 (P. 12/2/2/3) mettant en lumière des conflits importants au sein du personnel du [...] de cette commune dont font partie tant S.________ que le recourant. L’issue de cette plainte pouvait ainsi manifestement avoir un impact sur l’avenir professionnel de M.________, dès lors qu’il s’agissait d’objets prétendument soustraits dans les locaux de son employeur. Parmi les objets prétendument volés figurait un traceur GPS, que le recourant a déclaré avoir découvert par hasard le 6 ou le 7 novembre 2019 dans le véhicule de fonction qu’on lui avait exceptionnellement demandé de conduire ce jour-là – qui n’était pas celui qu’il conduisait habituellement –, caché dans la trousse de premiers secours. M.________ avait immédiatement informé sa hiérarchie de cette découverte, en soupçonnant que ce traceur avait été placé là pour le surveiller. Ce n’est qu’après cette découverte, soit le 27 novembre 2019, que S.________ a déposé plainte.</w:t>
      </w:r>
    </w:p>
    <w:p>
      <w:r>
        <w:t>- 8 - Au vu de ce qui précède, en particulier du contexte sensible dans lequel la plainte pénale a été déposée par S.________, l’assistance d’un avocat, notamment lors de l’audition par la police et lors de la perquisition, apparaissait nécessaire. C’est donc à raison que le recourant invoque une violation de l’art. 429 al. 1 let. a CPP. Le recours doit être admis sur ce point.</w:t>
      </w:r>
    </w:p>
    <w:p>
      <w:r>
        <w:rPr>
          <w:b/>
        </w:rPr>
        <w:t>E. 4</w:t>
      </w:r>
    </w:p>
    <w:p>
      <w:r>
        <w:t>; TF 6B_4/2013 du 11 avril 2013 consid. 2.1). Selon certains auteurs toutefois, dans le cas où le droit à une indemnité au sens de l’art. 429 CPP apparaît d’emblée fondé, le ministère public devrait procéder à une interpellation au préalable (Moreillon/Parein- Reymond, Code de procédure pénale, Petit commentaire, 2e éd., Bâle 2016, n. 23a ad art. 310 CPP).</w:t>
      </w:r>
    </w:p>
    <w:p>
      <w:r>
        <w:t>- 5 -</w:t>
      </w:r>
    </w:p>
    <w:p>
      <w:r>
        <w:rPr>
          <w:b/>
        </w:rPr>
        <w:t>E. 4.1</w:t>
      </w:r>
    </w:p>
    <w:p>
      <w:r>
        <w:t>M.________ réclame une indemnité au sens de l’art. 429 al. 1 let. a CPP d’un montant de 5’815 fr. 55, frais et TVA compris.</w:t>
      </w:r>
    </w:p>
    <w:p>
      <w:r>
        <w:rPr>
          <w:b/>
        </w:rPr>
        <w:t>E. 4.2</w:t>
      </w:r>
    </w:p>
    <w:p>
      <w:r>
        <w:t>Le recourant produit quatre notes d’honoraires pour l’activité de son conseil du 25 novembre 2019 au 28 mai 2020. Or, comme il l’admet lui-même, ces notes ne distinguent pas l’activité relative à ce dossier et celles relatives au dossier ouvert suite à sa plainte du 19 décembre 2019 (P. 12/2/5). En l’occurrence, l’activité de Me Anne Dorthe débute, sur le plan pénal, avec la réception de la convocation à l’audition de police de M.________ le 6 décembre 2019. L’activité de défenseur comporte notamment l’assistance de son client lors de l’audition de ce dernier par la police et lors de la perquisition, divers téléphones et courriels ainsi qu’un courrier au Ministère public du 26 mai 2020. Il conviendra toutefois de retrancher les opérations relatives à la procédure dans laquelle M.________ est plaignant, soit notamment les recherches juridiques qui concernent l’art. 179 ter CP. Les opérations effectuées en lien avec le dossier civil ne seront également pas prises en compte. On retiendra ainsi le temps consacré à l’audition de police (3h50), à la perquisition (1h40), à l’examen du rapport de police (0h15), à la séance et aux téléphones avec le client (0h15 + 0h30 + 0h15), au courrier à l’attention du Ministère public (1h15 + 0h10 + 0h10) et aux divers courriers et téléphones (0h30). Il y a ainsi lieu d’admettre 8h50 d’activité d’avocat au tarif horaire de 280 fr. vu la simplicité de la cause. Ainsi, l’indemnité complète</w:t>
      </w:r>
    </w:p>
    <w:p>
      <w:r>
        <w:t>- 9 - doit être fixée à 2'473 fr. 35 (soit 8h50 de travail à 280 fr.), auxquels il convient d’ajouter des débours forfaitaires à concurrence de 5 % (cf. art. 19 al. 2 TDC [Tarif des dépens en matière civile du 23 novembre 2010; BLV 270.11.6], applicable par analogie par renvoi de l’art. 26a al. 6 TFIP), par 123 fr. 65, plus un montant correspondant à la TVA, par 199 fr. 95, soit 2’796 fr. 95 au total, montant arrondi à 2'797 francs. Cette indemnité sera laissée à la charge de l’Etat, étant cependant précisé qu’il n’est pas impossible, au vu des circonstances de cette affaire, que dans la procédure ouverte contre le plaignant suite à la plainte de M.________ pour dénonciation calomnieuse, le Ministère public arrive à la conclusion que la plainte pour vol déposée par S.________ était non seulement dépourvue de tout fondement, mais qu’elle poursuivait un autre but que celui de dénoncer une infraction. Dans cette hypothèse, il serait justifié que l’Etat envisage une action récursoire à l’encontre du prénommé (art. 420 CPP).</w:t>
      </w:r>
    </w:p>
    <w:p>
      <w:r>
        <w:rPr>
          <w:b/>
        </w:rPr>
        <w:t>E. 5.1</w:t>
      </w:r>
    </w:p>
    <w:p>
      <w:r>
        <w:t>En définitive, le recours doit être partiellement admis et l’ordonnance de non-entrée en matière réformée au chiffre II de son dispositif en ce sens qu’une indemnité de 2'797 fr., débours et TVA compris, est allouée à M.________ pour les dépenses occasionnées par l’exercice raisonnable de ses droits de procédure, à la charge de l’Etat. Les frais de la procédure de recours, constitués en l’espèce de l’émolument d'arrêt, par 1’100 fr. (art. 20 al. 1 TFIP [tarif des frais judiciaires de procédure et indemnités en matière pénale du 28 septembre 2010; BLV 312.03.1]), seront mis par moitié, soit 550 fr. à la charge de M.________, qui succombe partiellement (art. 428 al. 1 CPP), le solde étant laissé à la charge de l’Etat. M.________, qui obtient partiellement gain de cause et qui a procédé avec l’assistance d’un mandataire professionnel, a droit à une indemnité réduite pour les dépenses obligatoires occasionnées par la procédure de recours, à savoir pour les frais qu’il a engagés pour l’exercice de ses droits de procédure en deuxième instance. L’indemnité</w:t>
      </w:r>
    </w:p>
    <w:p>
      <w:r>
        <w:t>- 10 - sera réduite de moitié pour tenir compte de la mesure dans laquelle le recours est admis. M.________ fait valoir 3h30 au tarif de 350 fr. de l’heure. C’est excessif tant au niveau du nombre d’heures que du tarif appliqué. Au vu du mémoire produit, la pleine indemnité sera fixée sur la base d’une activité d’avocat de trois heures à 280 fr. l’heure, pour les mêmes raisons que celles mentionnées ci-dessus. A ces honoraires, de 840 fr., il convient d’ajouter des débours forfaitaires à concurrence de 2 % (art. 19 al. 2 TDC [Tarif des dépens en matière civile du 23 novembre 2010; BLV 270.11.6], applicable par renvoi de l’art. 26a al. 6 TFIP), par 16 fr. 80, plus un montant correspondant à la TVA, par 65 fr. 95, soit à hauteur de 922 fr. 75 au total, somme arrondie à 923 fr., ce qui implique une indemnité réduite (1/2) de 462 francs. Cette indemnité sera laissée à la charge de l’Etat. Par ces motifs, la Chambre des recours pénale prononce : I. Le recours est partiellement admis. II. L’ordonnance du 4 juin 2020 est réformée au chiffre II de son dispositif en ce sens qu’une indemnité de 2’797 fr. (deux mille sept cent nonante-sept francs) est allouée à M.________, à la charge de l’Etat. L’ordonnance est maintenue pour le surplus. III. Les frais d’arrêt, par 1’100 fr. (mille cent francs), sont mis par moitié, soit par 550 fr. (cinq cent cinquante francs), à la charge de M.________, le solde, par 550 fr. (cinq cent cinquante francs), étant laissé à la charge de l’Etat. IV. Une indemnité de 462 fr. (quatre cent soixante-deux francs) est allouée à M.________ pour les dépenses occasionnées par la procédure de recours, à la charge de l’Etat. V. L’arrêt est exécutoire.</w:t>
      </w:r>
    </w:p>
    <w:p>
      <w:r>
        <w:t>- 11 - Le président : La greffière : Du Le présent arrêt, dont la rédaction a été approuvée à huis clos, est notifié, par l'envoi d'une copie complète, à : - M. S.________, - Me Anne Dorthe, avocate (pour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