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PE20.002719 vom 2. Oktober 2020</w:t>
      </w:r>
    </w:p>
    <w:p>
      <w:r>
        <w:t>VD Tribunal cantonal, 2020-10-02, FR</w:t>
      </w:r>
    </w:p>
    <w:p>
      <w:r>
        <w:rPr>
          <w:b/>
        </w:rPr>
        <w:t xml:space="preserve">Quelle: </w:t>
      </w:r>
      <w:r>
        <w:t>https://mcp.opencaselaw.ch/entscheid/vd_gerichte_PE20.002719</w:t>
      </w:r>
    </w:p>
    <w:p>
      <w:r>
        <w:t>FR: VD_GERICHTE PE20.002719 du 2 octobre 2020</w:t>
      </w:r>
    </w:p>
    <w:p>
      <w:r>
        <w:t>IT: VD_GERICHTE PE20.002719 del 2 ottobre 2020</w:t>
      </w:r>
    </w:p>
    <w:p>
      <w:pPr>
        <w:pStyle w:val="Heading2"/>
      </w:pPr>
      <w:r>
        <w:t>Erwägungen</w:t>
      </w:r>
    </w:p>
    <w:p>
      <w:r>
        <w:rPr>
          <w:b/>
        </w:rPr>
        <w:t>E. 1</w:t>
      </w:r>
    </w:p>
    <w:p>
      <w:r>
        <w:t>Interjeté dans les formes prescrites (art. 385 al. 1 CPP [Code de procédure pénale suisse du 5 octobre 2007 ; RS 312.0]) et dans le délai légal (art. 396 al. 1 CPP), par une personne, dont la qualité de partie plaignante n’a pas été reconnue et qui, partant, a qualité pour recourir (art. 382 al. 1 CPP), contre une ordonnance rendue par le Ministère public (art. 393 al. 1 let. a CPP ; CREP 26 avril 2018/311 ; CREP 16 mars 2015/194 et les références citées), le recours déposé par F.________ est recevable.</w:t>
      </w:r>
    </w:p>
    <w:p>
      <w:r>
        <w:rPr>
          <w:b/>
        </w:rPr>
        <w:t>E. 2.1.1</w:t>
      </w:r>
    </w:p>
    <w:p>
      <w:r>
        <w:t>Le recourant expose que les membres d’une personne morale ne sont qu’indirectement touchés par une infraction commise au détriment de celle-ci ; ainsi, si une infraction lèse le patrimoine d’une personne morale, c’est cette dernière qui a la qualité de lésé au sens de l’art. 115 CPP, et non ses actionnaires, ses ayants droit économiques, ses associés ou ses créanciers. Il fait valoir qu’ainsi, c’est « sans aucun doute » H.________ qui a été lésée par les agissements des prévenus. Il explique cependant que l’association précitée a été dissoute lors d’une séance que les prévenus ont tenue le 2 février 2020 (et à laquelle il n’a pas pris part), et qu’elle n’existerait plus « de facto » ni « de lege » à partir de cette date. Il en déduit que, puisque la personne morale n’existe plus, et en particulier qu’elle n’a plus la capacité de faire valoir ses droits en justice à l’encontre des prévenus, les personnes lésées seraient les membres de « feue l’association » et qu’ils auraient la qualité pour déposer plainte.</w:t>
      </w:r>
    </w:p>
    <w:p>
      <w:r>
        <w:t>- 4 -</w:t>
      </w:r>
    </w:p>
    <w:p>
      <w:r>
        <w:rPr>
          <w:b/>
        </w:rPr>
        <w:t>E. 2.1.2</w:t>
      </w:r>
    </w:p>
    <w:p>
      <w:r>
        <w:t>Pour sa part, le procureur a relevé que le montant de 6'950 fr. avait été retiré du compte postal de H.________ par Z.________ et [...], qu’une partie de cet argent avait été distribuée entre les membres de l’association, et qu’une autre partie avait été envoyée en République du Congo, soi-disant pour des œuvres de charité. Il en a déduit que la personne lésée était H.________, et non le plaignant. En outre, le procureur a estimé que F.________ n’était pas habilité à déposer plainte pénale au nom de H.________ puisqu’il n’en était pas le président et qu’il n’avait pas reçu de mandat de l’assemblée générale pour ce faire, le procès-verbal produit se contentant d’indiquer que les membres avaient décidé « de requérir par le biais de l’avocat Widmer à la justice de paix le blocage du compte Postfinance ».</w:t>
      </w:r>
    </w:p>
    <w:p>
      <w:r>
        <w:rPr>
          <w:b/>
        </w:rPr>
        <w:t>E. 2.2.1</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Le lésé est celui dont les droits ont été touchés directement par une infraction (art. 115 al. 1 CPP). L'art. 115 al. 2 CPP prévoit en outre que sont considérées comme des lésés les personnes qui ont qualité pour déposer plainte pénale ; tel est le cas notamment des représentants légaux, des héritiers du lésé, ainsi que des autorités et organisations habilitées à porter plainte, soit des personnes qui ne sont pas directement ou personnellement touchées par l'infraction. On entend par lésé toute personne dont les droits ont été touchés directement par une infraction ; en général, seul peut se prévaloir d’une atteinte directe le titulaire du bien juridique protégé par la disposition pénale qui a été enfreinte (TF 6B_1321/2019 du 15 janvier 2020 consid. 3.4.2 ; ATF 141 IV 1 consid. 3.1) ; il en résulte notamment que, lorsqu’une infraction est perpétrée au détriment du patrimoine d’une personne morale – comme c’est le cas de l’abus de confiance et de la</w:t>
      </w:r>
    </w:p>
    <w:p>
      <w:r>
        <w:t>- 5 - gestion déloyale retenues en l’espèce –, seule celle-ci subit un dommage et peut donc prétendre à la qualité de lésé (ATF 141 IV 380 consid. 2.3.3 ; ATF 140 IV 155 consid. 3.3.1 ; TF 1B_118/2017 du 13 juin 2017 consid. 3.1).</w:t>
      </w:r>
    </w:p>
    <w:p>
      <w:r>
        <w:rPr>
          <w:b/>
        </w:rPr>
        <w:t>E. 2.2.2</w:t>
      </w:r>
    </w:p>
    <w:p>
      <w:r>
        <w:t>Selon les art. 76 à 78 CC (Code civil suisse du 10 décembre 1907 ; RS 210), l’association entre en liquidation dès la dissolution. Il s’agit d’un statut spécial qui est régi par l’art. 58 CC, lequel renvoie aux articles applicables aux sociétés coopératives (TF 8C_515/2007 du 8 avril 2008 consid. 3.3 ; Perrin/Chappuis, Droit de l’association, 3e éd. 2008, p. 224) ; de leur côté, les dispositions sur la société coopérative (art. 913 al. 1 CO [Code des obligations ; RS 220]) renvoient à celles de la société anonyme, soit aux art. 736 ss CO. Selon l’art. 739 al. 1 CO, aussi longtemps que la séparation entre actionnaires n’est pas terminée – ce qui suppose notamment le paiement des dettes de la société (art. 745 al. 1 CO), après un appel aux créanciers (art. 742 al. 2 CO) – la société en liquidation garde sa personnalité et sa raison sociale, à laquelle s’ajoutent les mots « en liquidation » (TF 8C_515/2007 précité). La liquidation consistant à recouvrer les finances de l’association, à payer ses dettes et à réaliser ses actifs (art. 743 al. 1 CO), la personne morale ne prend fin qu’à la fin de la procédure de liquidation, plus précisément lorsqu’à la suite de l’échéance de tous ces délais de production, la procédure de liquidation proprement dite est terminée, y compris la distribution des biens (Perrin/Chappuis, op. cit., p. 225 et les références citées).</w:t>
      </w:r>
    </w:p>
    <w:p>
      <w:r>
        <w:rPr>
          <w:b/>
        </w:rPr>
        <w:t>E. 2.3</w:t>
      </w:r>
    </w:p>
    <w:p>
      <w:r>
        <w:t>En l’espèce, il n’est pas contesté que les infractions dénoncées protègent le patrimoine de la personne morale qu’est H.________. Comme l’admet du reste le recourant, c’est donc l’association qui a été lésée par ces infractions. Toutefois, on ne saurait suivre le recourant lorsqu’il soutient que H.________ n’existerait plus. En effet, au vu des principes exposés ci- dessus (cf. consid. 2.2.2), tant que la procédure de liquidation n’est pas terminée – et en particulier que la créance en réparation du préjudice que l’association aurait subi du fait des éventuels agissements coupables de</w:t>
      </w:r>
    </w:p>
    <w:p>
      <w:r>
        <w:t>- 6 - ses organes n’a pas été recouvrée –, sa personnalité morale ne disparaît pas. C’est également à tort que F.________ soutient que, dans l’hypothèse où l’association n’aurait plus d’existence, elle ne serait plus en mesure de faire valoir ses prétentions civiles et que seuls les membres de l’association seraient lésés et pourraient faire valoir leurs droits. Si, au terme de la liquidation, des membres se prétendent lésés par la gestion ou la liquidation opérée par les organes de l’association, ils continueront à faire valoir une atteinte à leurs droits indirecte et non directe. Partant, c’est à juste titre que le Procureur a dénié la qualité de partie plaignante à F.________.</w:t>
      </w:r>
    </w:p>
    <w:p>
      <w:r>
        <w:rPr>
          <w:b/>
        </w:rPr>
        <w:t>E. 3</w:t>
      </w:r>
    </w:p>
    <w:p>
      <w:r>
        <w:t>Il résulte de ce qui précède que le recours, manifestement mal fondé, doit être rejeté sans échange d’écritures (art. 390 al. 2 CPP) et l’ordonnance entreprise confirmée. Les frais de la procédure de recours, constitués en l’espèce de l’émolument d'arrêt, par 660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27 juillet 2020 est confirmée. III. Les frais d’arrêt, par 660 fr. (six cent soixante francs), sont mis à la charge de F.________.</w:t>
      </w:r>
    </w:p>
    <w:p>
      <w:r>
        <w:t>- 7 - IV. L’arrêt est exécutoire. Le président : La greffière : Du Le présent arrêt, dont la rédaction a été approuvée à huis clos, est notifié, par l'envoi d'une copie complète, à : - Me Youri Widmer, avocat (pour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