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PE20.002595 vom 8. Juni 2022</w:t>
      </w:r>
    </w:p>
    <w:p>
      <w:r>
        <w:t>VD Tribunal cantonal, 2022-06-08, FR</w:t>
      </w:r>
    </w:p>
    <w:p>
      <w:r>
        <w:rPr>
          <w:b/>
        </w:rPr>
        <w:t xml:space="preserve">Quelle: </w:t>
      </w:r>
      <w:r>
        <w:t>https://mcp.opencaselaw.ch/entscheid/vd_gerichte_PE20.002595</w:t>
      </w:r>
    </w:p>
    <w:p>
      <w:r>
        <w:t>FR: VD_GERICHTE PE20.002595 du 8 juin 2022</w:t>
      </w:r>
    </w:p>
    <w:p>
      <w:r>
        <w:t>IT: VD_GERICHTE PE20.002595 del 8 giugno 2022</w:t>
      </w:r>
    </w:p>
    <w:p>
      <w:pPr>
        <w:pStyle w:val="Heading2"/>
      </w:pPr>
      <w:r>
        <w:t>Erwägungen</w:t>
      </w:r>
    </w:p>
    <w:p>
      <w:r>
        <w:rPr>
          <w:b/>
        </w:rPr>
        <w:t>E. 29</w:t>
      </w:r>
    </w:p>
    <w:p>
      <w:r>
        <w:t>novembre 2019 de côté dans sa tête et que même si elle savait qu’il s’était passé quelque chose d’ordre sexuel, elle voulait oublier, ce qui constitue un mécanisme habituel chez les victimes d’actes d’ordre sexuel. La Cour de céans fonde en outre sa conviction de la culpabilité de l’appelant sur l’attestation établie le 19 janvier 2022 par le SUPEA (P. 31), document qui jouit d'une valeur probante très élevée, les professionnels du SUPEA étant régulièrement confrontés à des situations comme celle de la plaignante. L'appelant ne met du reste pas en cause cette attestation, sur laquelle il ne s'exprime pas. Or, les conclusions du SUPEA confirment la crédibilité des déclarations de la victime et posent un diagnostic de stress post-traumatique : troubles anxieux et dépressifs, souvenirs envahissants de l'événement traumatique, troubles du sommeil, troubles de la concentration, attaques de panique, évitement de situations rappelant l'événement traumatique. Ce diagnostic est compatible avec les faits relatés par la plaignante. Il ne l'est en revanche pas avec la consommation de cannabis invoquée par l’appelant pour justifier que la plaignante mente. Par ailleurs, contrairement à ce que soutient l'appelant, les différents épisodes décrits par la victime n'apparaissent pas comme générateurs d'un bruit intense susceptible de réveiller la maisonnée et il n'y a rien d'inconcevable à ce que les personnes présentes ce soir-là, notamment le père de la plaignante, n'aient rien entendu. Enfin, au vu de la description des faits par la victime il n’y a aucun doute qu'il ne pouvait pas s'agir de gestes fortuits, comme le plaide l'appelant : en atteste la multiplication des attouchements en des lieux et instants différents, de même que l'insistance à se faire prodiguer une fellation, qui établit</w:t>
      </w:r>
    </w:p>
    <w:p>
      <w:r>
        <w:t>- 19 - clairement le but de nature sexuelle. Peu importe finalement que la commission d'infraction paraisse rétrospectivement déraisonnable au regard des conséquences pour leur auteur. On peut le constater, mais cela ne suffit pas pour mettre en cause la réalité des faits. Compte tenu de l’ensemble des éléments qui précèdent, la Cour d’appel pénale retient que l’état de fait pris en considération par le premier juge est complet et conforme à la réalité. Le premier juge n’a pas violé le principe de la présomption d’innocence en concluant – sur la base d’un faisceau d’indices probant – à la culpabilité de l’appelant pour les faits dénoncés par la plaignante. 4. L’appelant conteste sa condamnation pour actes d’ordre sexuel avec des enfants au sens de l'art. 187 CP. Il soutient qu’il ne savait pas que la plaignante avait moins de 16 ans. 4.1 Aux termes de l'art. 187 CP, celui qui aura commis un acte d'ordre sexuel sur un enfant de moins de 16 ans sera puni d'une peine privative de liberté de cinq ans au plus ou d'une peine pécuniaire (ch. 1 al. 1). L'acte n'est pas punissable si la différence d'âge entre les participants ne dépasse pas trois ans (ch. 2).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TF 6B_457/2010 du 8 septembre 2010 consid. 1.2.1). En revanche, l'art. 187 ch. 4 CP vise l'hypothèse où l'auteur adopte intentionnellement le comportement objectivement délictueux, mais en</w:t>
      </w:r>
    </w:p>
    <w:p>
      <w:r>
        <w:t>- 20 - croyant par erreur que l'enfant a atteint l'âge de 16 ans, alors que cette erreur était évitable. Si l'erreur était inévitable, l'auteur doit être acquitté (TF 6B_887/2017 précité consid. 3.1 ; TF 6B_1058/2010 du 1er mars 2011 consid. 1.1). Savoir si l'auteur était dans l'erreur est une question de fait, mais savoir si l'erreur était évitable est une question de droit (ATF 102 IV 277 consid. 2a ; ATF 100 IV 230 consid. 1 ; TF 6B_256/2010 du 3 juin 2010 consid. 2.1).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4.2 En l’espèce, la victime dit clairement, dans son audition filmée, que les parties ont parlé de leur âge respectif et qu'elle a dit qu'elle avait 15 ans. Si l'on considère qu'il n'y a pas lieu de s'écarter du récit de la</w:t>
      </w:r>
    </w:p>
    <w:p>
      <w:r>
        <w:t>- 21 - plaignante (cf. consid. 3.2 supra), cela vaut aussi pour cette question de l'âge. En tout état de cause, il ne pouvait échapper à l’appelant que la plaignante était bien jeune et il ne pouvait se dispenser de toute vérification sur ce point, ce qui était facile et exigible de sa part. Le dol éventuel est par conséquent de toute manière réalisé et la condamnation de l’appelant pour l’infraction d’acte d’ordre sexuel avec des enfants au sens de l’art. 187 CP doit être confirmée. 5. L’appelant considère que la peine prononcée à son encontre est disproportionnée.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t>- 22 - 5.1.2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- 23 - aggravantes ou atténuantes. Dans un second temps, il augmentera cette peine pour sanctionner chacune des autres infractions, en tenant là aussi compte de toutes les circonstances y relatives. 5.1.3 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d’un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et de sa situation personnelle au moment du jugement, notamment de l’état d’esprit qu’il manifeste. Le pronostic doit être posé sur la base de tous les éléments propres à éclairer l’ensemble du caractère du prévenu et ses chances d’amendement (ATF 134 IV1 consid. 4.2.1). Le juge ne peut accorder un poids particulier à certains critères et en négliger d’autres qui sont pertinents (ATF 135 IV 180 consid. 2.1). Le défaut de prise de conscience peut justifier un pronostic défavorable, car seul celui qui se repent de son acte mérite la confiance que l’on doit pouvoir accorder au condamné bénéficiant d’un sursis (TF 6B_1396/2021 du 28 juin 2022 consid. 4.1.2). 5.2 En l’espèce, l’appelant s’est rendu coupable d'actes d’ordre sexuel avec des enfants et d’actes d’ordre sexuel commis sur une personne incapable de discernement ou de résistance. Le tribunal de première instance a retenu que la culpabilité de l’appelant était lourde. Il s’en était pris à deux biens juridiquement protégés différents, soit d’une part le développement sexuel d’une personne mineure et d’autre part son intégrité sexuelle. Il était revenu plusieurs fois à la charge alors que la plaignante avait manifesté son désaccord, quand bien même elle était</w:t>
      </w:r>
    </w:p>
    <w:p>
      <w:r>
        <w:t>- 24 - incapable d’opposer une résistance supplémentaire. Il avait agi au domicile de la plaignante, alors qu’il était l’ami proche du fils de la compagne du père de la plaignante, lui inspirant un sentiment de confiance. Enfin, il n’avait jamais cessé de contester les faits, démontrant une absence totale de prise de conscience. Le tribunal a considéré que l’infraction la plus grave était celle d’actes d’ordre sexuel commis sur une personne incapable de discernement ou de résistance, comportement qu’il a sanctionné par une peine privative de liberté de 8 mois. Par l’effet du concours, il a ajouté une peine de 4 mois pour sanctionner les actes d’ordre sexuel commis sur un enfant. Cette appréciation, qui reprend les critères pertinents pour fixer la peine, ne prête pas le flanc à la critique et doit être confirmée. Les faits ne sont effectivement pas anodins et la plaignante est encore marquée par les événements. Ainsi, c’est à raison que le tribunal de première instance a retenu que la culpabilité de l’appelant était lourde. La peine prononcée, qui sanctionne de manière adéquate le comportement de l’appelant, doit ainsi être confirmée. Il en va de même s’agissant du sursis accordé avec un délai d’épreuve de trois ans, ce que l’appelant ne conteste du reste pas. 6. L’appelant conteste le montant de l’indemnité allouée par 6'000 fr. à la plaignante au titre de réparation du tort moral. Il estime ce montant excessif. 6.1 L'art. 49 al. 1 CO (loi fédérale complétant le Code civil suisse [Livre cinquième : Droit des obligations] du 30 mars 1911 ; RS 220) prévoit que celui qui subit une atteinte à sa personnalité a droit à une somme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w:t>
      </w:r>
    </w:p>
    <w:p>
      <w:r>
        <w:t>- 25 -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6.2 En l’espèce, le tribunal de première instance a constaté que la plaignante avait été profondément atteinte par les agissements de l’appelant comme le démontraient notamment les deux attestations au dossier mentionnées précédemment (P. 31 et 50). Elle avait présenté des périodes d’absentéisme à l’école à la suite des faits. Elle s’était encore retrouvée en incapacité de travail peu avant l’audience de jugement en raison de ceux-ci. Il se justifiait dès lors de lui allouer une indemnité pour tort moral. Quant au montant de 6'000 fr., réclamé par la plaignante, le tribunal a considéré qu’il était parfaitement justifié au vu des souffrances subies. Cette appréciation ne prête pas le flanc à la critique et doit être confirmée. En effet, la pénétration digitale est un geste intrusif et l'ensemble des faits revêt une certaine gravité. La plaignante a été durablement impactée par le comportement de l’appelant. Le montant de 6'000 fr. alloué par le tribunal de première instance au titre de réparation du dommage doit ainsi être confirmé.</w:t>
      </w:r>
    </w:p>
    <w:p>
      <w:r>
        <w:t>- 26 - 7. La culpabilité de l’appelant étant intégralement confirmée, il n’y a pas lieu de lui allouer l’indemnité qu’il réclame en application de l’art. 429 CPP. 8. En définitive, l’appel de F.________, mal fondé doit être rejeté et le jugement entrepris confirmé. Me Coralie Devaud, conseil d’office de la plaignante, a produit une liste d’opérations alléguant 9.05 heures de travail (P. 69), ce qui peut être admis. Au tarif horaire de 180 fr., c’est ainsi une indemnité de 1'918 fr. 80, TVA et débours inclus, qui doit lui être allouée pour la procédure d’appel. Vu l'issue de la cause, les frais d'appel, par 4'488 fr. 80, constitués de l'émolument de jugement, par 2'570 fr. (art. 21 al. 1 et 2 TFIP [Tarif des frais de procédure et indemnités en matière pénale du 28 septembre 2010 ; RSV 312.03.1]), et de l'indemnité allouée au conseil d'office de la plaignante, par 1'918 fr. 80, seront mis à la charge de F.________ qui succombe (art. 428 al. 1 CPP). F.________ ne sera tenu de rembourser à l’Etat le montant de l’indemnité en faveur du conseil d’office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