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PE20.002554 vom 30. November 2020</w:t>
      </w:r>
    </w:p>
    <w:p>
      <w:r>
        <w:t>VD Tribunal cantonal, 2020-11-30, FR</w:t>
      </w:r>
    </w:p>
    <w:p>
      <w:r>
        <w:rPr>
          <w:b/>
        </w:rPr>
        <w:t xml:space="preserve">Quelle: </w:t>
      </w:r>
      <w:r>
        <w:t>https://mcp.opencaselaw.ch/entscheid/vd_gerichte_PE20.002554</w:t>
      </w:r>
    </w:p>
    <w:p>
      <w:r>
        <w:t>FR: VD_GERICHTE PE20.002554 du 30 novembre 2020</w:t>
      </w:r>
    </w:p>
    <w:p>
      <w:r>
        <w:t>IT: VD_GERICHTE PE20.002554 del 30 novembre 2020</w:t>
      </w:r>
    </w:p>
    <w:p>
      <w:pPr>
        <w:pStyle w:val="Heading2"/>
      </w:pPr>
      <w:r>
        <w:t>Erwägungen</w:t>
      </w:r>
    </w:p>
    <w:p>
      <w:r>
        <w:rPr>
          <w:b/>
        </w:rPr>
        <w:t>E. 11</w:t>
      </w:r>
    </w:p>
    <w:p>
      <w:r>
        <w:t>L’appelant ne demande la suppression des frais judiciaires et l’allocation de diverses indemnités que dans l’hypothèse non réalisée de son acquittement. Ses prétentions doivent en conséquence être rejetées.</w:t>
      </w:r>
    </w:p>
    <w:p>
      <w:r>
        <w:rPr>
          <w:b/>
        </w:rPr>
        <w:t>E. 12.1</w:t>
      </w:r>
    </w:p>
    <w:p>
      <w:r>
        <w:t>Le prévenu, qui conclut à ce qu’il soit libéré « de toutes infractions », ne formule aucun moyen spécifique en lien avec la fixation de la peine infligée par les premiers juges. De son côté, le Ministère public fait valoir que la peine privative de liberté prononcée à l’encontre du prévenu serait insuffisante et qu’elle devrait être augmentée à 7 ans. Il considère que les premiers juges auraient retenu à tort l’ancienneté des premiers faits, dans la mesure où, malgré l’écoulement du temps, le prévenu ne se serait pas bien comporté par la suite.</w:t>
      </w:r>
    </w:p>
    <w:p>
      <w:r>
        <w:rPr>
          <w:b/>
        </w:rPr>
        <w:t>E. 12.2.1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- 40 -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12.2.2</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(ATF 140 IV 145 consid. 3.).</w:t>
      </w:r>
    </w:p>
    <w:p>
      <w:r>
        <w:rPr>
          <w:b/>
        </w:rPr>
        <w:t>E. 12.2.3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w:t>
      </w:r>
    </w:p>
    <w:p>
      <w:r>
        <w:t>- 41 -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12.3</w:t>
      </w:r>
    </w:p>
    <w:p>
      <w:r>
        <w:t>En l’espèce, contrairement à ce que fait valoir le Ministère public, les premiers juges n’ont pas retenu la circonstance atténuante de l’art. 48 let. e CP, mais ont simplement constaté l’ancienneté des premiers faits, ce qui est indéniable. Le grief du parquet tombe ainsi à faux. Avec les premiers juges, il faut admettre que la culpabilité de X.________ est lourde, essentiellement pour les agressions sexuelles infligées à la plaignante, et une peine privative de liberté de plusieurs années se justifie pleinement. Toutefois, la peine requise par le Ministère public est habituellement réservée à des cas de viols aggravés, en raison de la cruauté (art. 190 al. 3 CP) ou de la commission en commun (art. 200 CP) par des inconnus.</w:t>
      </w:r>
    </w:p>
    <w:p>
      <w:r>
        <w:t>- 42 - Pour le reste, force est de constater que les premiers juges n’ont omis aucun élément d’appréciation dans leurs considérants. X.________ a porté atteinte à l’intégrité sexuelle de celle qu’il prétendait aimer, mère de deux de ses enfants, dans le seul but d’assouvir ses propres besoins sexuels et d’affirmer sa domination. Ensuite, il lui a proféré des menaces de mort et a exercé son emprise sur elle afin qu’elle modifie son comportement vis-à-vis de tiers, ce qu’il a en partie réussi. Les antécédents du prévenu sont mauvais. Par ailleurs, déjà avant les faits litigieux, il s’en était pris physiquement à une précédente compagne et même en prison il continue à faire preuve de violence. Dans le cas d’espèce, il a démontré une absence totale d’empathie et une incapacité à prendre conscience de la gravité de ses actes puisqu’il a persévéré dans ses dénégations, allant jusqu’à inverser les rôles en prétendant qu’il était la victime de manipulations de la part de la plaignante. Sa responsabilité pénale est pleine et entière. A décharge, on retiendra l’ancienneté des premiers actes incriminés et le fait qu’une partie des faits constitutifs de contrainte est restée au stade de la tentative. La Cour de céans fait donc sienne la motivation complète et convaincante des premiers juges. L’infraction de base est le viol du 1er février 2007, car il est le plus violent. La gravité des faits et leur ancienneté dictent une peine privative de liberté de 2 ans. La peine doit être portée à 3 ans en raison du concours réel avec les autres viols et à 3,5 ans en raison des actes de contrainte sexuelle. Enfin, avec les menaces, contrainte et tentative de contrainte, on aboutit à une peine privative de liberté globale de 4 ans, incompatible avec le sursis. A cette peine privative de liberté s’ajoutent encore une peine pécuniaire pour réprimer l’infraction d’injure et une amende pour sanctionner les infractions de voies de fait et de désagréments causés par la confrontation à un acte d’ordre sexuel. Au vu de la situation du prévenu et des fautes commises, la peine pécuniaire de 15 jours-amende à 20 fr. le</w:t>
      </w:r>
    </w:p>
    <w:p>
      <w:r>
        <w:t>- 43 - jour et le montant de l’amende de 900 fr. retenus par les premiers juges sont justifiés. La conversion de l’amende en une peine privative de liberté de 18 jours en cas de non-paiement fautif est adéquate et peut également être confirmée. Enfin, la révocation du sursis accordé en 2016 assortissant une condamnation à une peine pécuniaire pour, notamment, menaces, se justifie et doit donc être confirmée, ce qui n’est en soi pas contesté.</w:t>
      </w:r>
    </w:p>
    <w:p>
      <w:r>
        <w:rPr>
          <w:b/>
        </w:rPr>
        <w:t>E. 13</w:t>
      </w:r>
    </w:p>
    <w:p>
      <w:r>
        <w:t>Conformément à l’art. 51 CP, la détention subie par X.________ depuis le jugement de première instance sera déduite de la peine privative de liberté prononcée. Le maintien en exécution anticipée de peine de l’appelant sera en outre ordonné pour garantir l’exécution de la peine prononcée, vu le risque de réitération qu’il présente (cf. supra consid. 1.4 dans la partie « En fait » ; art. 221 al. 1 let. c CPP ;)</w:t>
      </w:r>
    </w:p>
    <w:p>
      <w:r>
        <w:rPr>
          <w:b/>
        </w:rPr>
        <w:t>E. 14</w:t>
      </w:r>
    </w:p>
    <w:p>
      <w:r>
        <w:t>En conclusion, l’appel de X.________ doit être très partiellement admis et le dispositif du jugement attaqué modifié à son chiffre I et par l’ajout d’un chiffre Ibis en ce sens que le prévenu est libéré du chef de prévention de contrainte pour les faits commis entre 2007 et 2010 en relation avec le chiffre 2 de l’acte d’accusation (cf. consid. 5.3 supra). L’appel joint du Ministère public doit quant à lui être rejeté. Me Anne-Claire Boudry, conseil d'office de la plaignante, a produit une liste d'opérations (P. 199) faisant état d’un montant total, TVA et débours compris, de 2'136 fr. 30, ce qui peut être admis tel quel. Vu l'issue de la cause et compte tenu du fait que le Ministère public n'est intervenu dans la procédure d'appel que par voie de jonction et que son appel porte sur un seul point, l’émolument d’appel, par 4'220 fr. (art. 21 al. 1 et 2 TFIP [tarif des frais de procédure et indemnités en matière pénale du 28 septembre 2010; BLV 312.03.1]), sera mis par deux tiers, soit par 2'813 fr. 35, à la charge de X.________ (cf. art. 428 al. 1 CPP),</w:t>
      </w:r>
    </w:p>
    <w:p>
      <w:r>
        <w:t>- 44 - le solde étant laissé à la charge de l'Etat. En outre, sera mise à la charge de X.________ l’intégralité de l’indemnité allouée au conseil d’office de Q.________, dès lors que la libération du prévenu d’une partie des faits litigieux concernant la plaignante est due uniquement à la prescription.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