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PE20.002367 vom 16. November 2022</w:t>
      </w:r>
    </w:p>
    <w:p>
      <w:r>
        <w:t>VD Tribunal cantonal, 2022-11-16, FR</w:t>
      </w:r>
    </w:p>
    <w:p>
      <w:r>
        <w:rPr>
          <w:b/>
        </w:rPr>
        <w:t xml:space="preserve">Quelle: </w:t>
      </w:r>
      <w:r>
        <w:t>https://mcp.opencaselaw.ch/entscheid/vd_gerichte_PE20.002367</w:t>
      </w:r>
    </w:p>
    <w:p>
      <w:r>
        <w:t>FR: VD_GERICHTE PE20.002367 du 16 novembre 2022</w:t>
      </w:r>
    </w:p>
    <w:p>
      <w:r>
        <w:t>IT: VD_GERICHTE PE20.002367 del 16 novembre 2022</w:t>
      </w:r>
    </w:p>
    <w:p>
      <w:pPr>
        <w:pStyle w:val="Heading2"/>
      </w:pPr>
      <w:r>
        <w:t>Erwägungen</w:t>
      </w:r>
    </w:p>
    <w:p>
      <w:r>
        <w:rPr>
          <w:b/>
        </w:rPr>
        <w:t>E. 5</w:t>
      </w:r>
    </w:p>
    <w:p>
      <w:r>
        <w:t>ans, sous déduction d’un jour de détention avant jugement (III), a ordonné son placement en détention pour des motifs de sûreté et confirmé son arrestation immédiate, pour garantir l’exécution de la peine (IV), a ordonné qu’il soit soumis à un traitement psychothérapeutique ambulatoire en application de l’art. 63 CP auprès du Service de médecine et psychiatrie pénitentiaires, en détention (V), a renoncé à ordonner son expulsion du territoire suisse (VI), a dit qu’il est le débiteur et doit immédiat paiement à la [...] du montant de 54'699 fr. 95, valeur échue, à titre de réparation du dommage (VII), a dit qu’il est le débiteur et doit immédiat paiement à [...] du montant de 123'310 fr. 90, valeur échue, à titre de réparation d’une partie du dommage et a renvoyé [...] à agir devant le juge civil pour faire valoir ses autres prétentions civiles à l’encontre de Q.________ (VIII), a condamné Q.________ à payer à [...] la somme de 4'878 fr. 80, à titre de juste indemnité pour les dépenses obligatoires occasionnées par la procédure préliminaire et de première instance (art. 433 al. 1 CPP) (IX), a ordonné le maintien au dossier, à titre de pièces à conviction, jusqu’à jugement définitif et exécutoire du CD contenant l’extraction des données téléphoniques du prévenu (fiche n°50988/20), de la clé USB contenant les images de divers témoins et les images de la vidéosurveillance de l’Hôtel [...] (fiche n°51115/20) et du CD contenant les données du contrôle téléphonique rétroactif réalisé sur le téléphone du prévenu (fiche n° 51282/21) (X), a alloué à l’avocate Caroline Matthey-Marchesi, défenseur d’office de Q.________, une indemnité de 13'671 fr. 25, débours compris et sans TVA (XI), a mis les frais de la cause, par 44'584 fr. 40 à la charge de Q.________, ce montant</w:t>
      </w:r>
    </w:p>
    <w:p>
      <w:r>
        <w:t>- 11 - comprenant l’indemnité de son défenseur d’office allouée sous chiffre XI et l’indemnité allouée à son précédent défenseur d’office, l’avocat Marc Cheseaux, arrêtée à 1'822 fr. 95 en cours d’enquête (XII), et a dit que les indemnités de défenseur d’office sont remboursables par le condamné dès que sa situation financière le permet (XIII). B. Par annonce du 24 novembre 2022, puis déclaration motivée du 15 décembre 2022, Q.________ a interjeté appel contre ce jugement. Il a conclu à ce qu’il soit condamné à une peine privative de liberté de 45 mois au maximum, dont l’exécution serait suspendue au profit de la mesure de traitement ambulatoire ordonnée. A titre de réquisition de preuve, il a sollicité la mise en œuvre d’un complément d’expertise psychiatrique, afin de faire clarifier et compléter la réponse apportée par les experts psychiatres aux questions 4.5 et 5.5 contenues dans leur rapport du 31 décembre 2021. Par déclaration du 4 janvier 2023, le Ministère public de l’arrondissement du Nord vaudois (ci-après : Ministère public) a formé un appel joint. Il a conclu à la modification du chiffre V du jugement entrepris, en ce sens que Q.________ est soumis à un traitement institutionnel au sens de l’art. 59 CP, les frais d’appel étant mis à sa charge. Par avis du 3 février 2023, le Président de la Cour d’appel a rejeté la mesure d’instruction requise par Q.________, au motif que les conditions de l’art. 389 CPP n’étaient pas remplies. C. Les faits retenus sont les suivants : 1. Q.________ est un ressortissant italien né le [...] 1969 à Genève. Il est le fils unique d’un couple de nationalité italienne. L’anamnèse de l’expertise psychiatrique du prévenu (P. 69), qui se fonde sur les différents rapports d’expertises psychiatriques précédents effectués au fil des années, relate une enfance carencée et marquée par les conflits conjugaux, la violence et l’alcoolisme de son père. A la veille de ses 17</w:t>
      </w:r>
    </w:p>
    <w:p>
      <w:r>
        <w:t>- 12 - ans, il a en particulier été placé en foyer à la suite d’une bagarre très violente avec son père. Après sa scolarité obligatoire, Q.________ a effectué un apprentissage de ferblantier. Il a obtenu son CFC en 1991. Il a travaillé dans ce domaine deux ou trois ans. La suite de son parcours de vie est jalonnée de séjours en prison à la suite de diverses condamnations pénales, la première remontant à 1994 et la dernière à 2015, ou dans des hôpitaux psychiatriques et des foyers. L’expertise psychiatrique relate de manière très complète les différents suivis et les diverses mesures, imposées ou volontaires, qui ont été mis en place. Peu après les événements du 9 février 2020, dont il sera question ci-après, le prévenu a été hospitalisé à Cery, à la suite d’une tentative de suicide le 13 février 2020. Une autre hospitalisation a eu lieu l’année suivante, du 20 mai au 1er septembre 2021, au Centre psychiatrique du Nord vaudois. Depuis 1998, Q.________ est au bénéfice d’une rente d’invalidité. Depuis le 1er septembre 2021, il a vécu dans un studio en ville d’Yverdon-les-Bains géré par SISP SA, une structure intermédiaire de soins psychiatriques. Le prévenu est célibataire et sans enfant. Il a quelques poursuites en cours et le montant de ses actes de défaut de biens s’élève à 9'048 fr. 45. Il bénéficie d’une curatelle d’accompagnement (art. 393 CC) depuis le 2 novembre 2020. Selon un rapport du Dr [...] du 19 janvier 2021 (P. 32), il a été suivi depuis le mois d’avril 2016 par l’Unité de psychiatrie ambulatoire du Secteur psychiatrique, d’abord sous mandat judiciaire (mesure) puis de façon volontaire. Il y suivait un traitement psychiatrique, psychothérapeutique et psychosocial intégré. L’évolution était décrite comme favorable même s’il y avait régulièrement eu des rechutes concernant sa consommation d’alcool dans des phases de crises ayant occasionné des hospitalisations. Le médecin relevait que, malgré la bonne évolution de la situation psychique du patient, il restait fragile, l’instruction en cours étant clairement pesante pour lui. Dans le cadre d’un rapport subséquent du 22 mars 2022 (P. 76/1), ce praticien a écrit que le patient était alors au mieux de son fonctionnement psychique depuis plusieurs années. Il était au profit d’un encadrement familier, psychologique et psychiatrique régulier et il n’avait jamais été aussi stable d’un point de vue psychique. Le médecin traitant</w:t>
      </w:r>
    </w:p>
    <w:p>
      <w:r>
        <w:t>- 13 - relevait encore qu’il était à craindre qu’un jugement vécu comme d’abord punitif, et non pas réparateur, confirmerait ou rétablirait l’idée d’une société malveillante et rabaissante, et pourrait même augmenter le risque de déstabilisation psychique et en conséquence le risque de récidive. Q.________ est au bénéfice d’un permis C. Il n’a jamais demandé la nationalité suisse. Le dossier du Service de la population (P. 78) enseigne qu’il a été envisagé de révoquer son autorisation de séjour en 2016, au vu des condamnations dont il a fait l’objet entre 1992 et 2015. Il a finalement fait l’objet d’un avertissement le 31 mai 2016. 2. Le casier judiciaire suisse de Q.________ comporte les inscriptions suivantes : - 12 février 2001, Tribunal correctionnel du Val-de-Travers, emprisonnement 2 ans (détention préventive 124 jours), suspension de l’exécution de la peine au profit d’une mesure (art. 43 ch. 1 al. 1 phr. 1 aCP), modification de la mesure le 11 juillet 2007 (art. 59 CP), pour tentative de lésions corporelles graves, lésions corporelles simples, brigandage et contravention à la loi fédérale sur les stupéfiants ; - 13 mars 2015, Ministère public du canton de Fribourg, peine pécuniaire de 100 jours-amende à 30 fr. le jour, avec sursis pendant 2 ans, amende de 800 fr., pour violence ou menace contre les autorités et les fonctionnaires. 3. En cours d’enquête, le prévenu a été soumis à une expertise psychiatrique. Le Prof. [...] et le Dr [...], respectivement médecin chef et chef de clinique auprès du Centre d’expertises, Institut de psychiatrie légale, site de Cery, ont déposé leur rapport le 31 décembre 2021.</w:t>
      </w:r>
    </w:p>
    <w:p>
      <w:r>
        <w:t>- 14 - Les experts ont posé les diagnostics de troubles mixtes de la personnalité avec des traits paranoïaques, émotionnellement labiles et dyssociaux, de troubles mentaux et troubles du comportement liés à l’utilisation d’opiacés, syndrome de dépendance, sous traitement de substitution, de troubles mentaux et troubles du comportement liés à l’utilisation d’alcool, syndrome de dépendance, actuellement abstinent, mais dans un environnement protégé, ainsi que de possible trouble de l’identité sexuelle. Pour les experts, le premier trouble mis en exergue pouvait être considéré comme grave en raison notamment des multiples conséquences, en particulier relationnelles et judiciaires dans la vie de l’expertisé. Concernant les faits qui sont reprochés à l’expertisé, plusieurs hypothèses étaient envisageables pour les experts. Une première où l’incendie serait volontaire et une seconde où il serait accidentel. Dans les deux hypothèses, les éléments psychopathologiques mis en évidence n’étaient pas de nature à altérer la capacité cognitive de l’expertisé au moment des faits qui lui sont reprochés. Concernant la capacité à se déterminer par rapport à ses actes, les experts ont retenu une diminution légère de la responsabilité dans les deux hypothèses, en raison notamment des aspects d’impulsivité liés à sa pathologie psychiatrique ou encore aux potentiels effets de l’alcool sur l’état de vigilance de l’expertisé au moment des faits. Appelés à se prononcer sur le risque de récidive, les experts ont indiqué qu’il existait un risque modéré de récidive d’acte illicite de quelque type que ce soit (y compris des actes de violence), si l’on se référait à ses multiples antécédents d’infractions (dans différents registres) mais également en tenant compte du fait que la dynamique infractionnelle (qui a commencé tôt dans son parcours de vie) semblait s’être tassée depuis 2015, cela indépendamment du fait que l’expertisé ait été ou pas l’auteur de l’incendie. Si l’on admettait l’hypothèse que l’incendie était volontaire, le risque de récidive devait être considéré de la</w:t>
      </w:r>
    </w:p>
    <w:p>
      <w:r>
        <w:t>- 15 - même manière que le risque général de commettre un acte illicite, car cela s’inscrivait alors dans quelque chose du registre du reste des mécanismes qui pouvait l’amener à commettre des actes illicites. Il n’y avait, selon les experts, pas de problématique spécifique chez l’expertisé en lien avec le feu qui conduirait à devoir traiter cette question différemment. Au terme de leur rapport, les experts préconisaient un traitement psychiatrique intégré (prenant en compte sa dépendance à de multiples substances psychoactives) qui impliquait une part semi- institutionnelle. Les modalités mises en place au moment de l’expertise, à savoir notamment un placement en appartement supervisé associé à un suivi régulier psychiatrique et psychothérapeutique ambulatoire (actuellement auprès de l’Unité de psychiatrie ambulatoire du secteur psychiatrique Nord), paraissaient adaptées sur le plan psychiatrique. Pour les experts, il était difficile d’évaluer la plus-value qu’apporterait un traitement imposé dans ce contexte. Ils relevaient que l’expertisé était compliant à son traitement psychiatrique ambulatoire intégré alors mis en place, selon les informations portées à leur connaissance, et il décrit de manière positive son placement en appartement supervisé. Les experts relevaient que le traitement ambulatoire ne serait pas entravé dans son application et que ses chances de succès ne seraient pas notablement amoindries par l’exécution d’une peine privative de liberté. S’agissant des addictions, après avoir rappelé que l’expertisé présentait une dépendance à de multiples substances psychoactives (notamment à l’alcool et aux opiacés) dont il était abstinent ou sous traitement de substitution au moment des entretiens d’expertise, les experts se référaient à la mesure préconisée ci-avant. 4. Le 9 février 2020, peu avant 3 heures, Q.________ a volontairement mis le feu d’une manière indéterminée à la chambre numéro</w:t>
      </w:r>
    </w:p>
    <w:p>
      <w:r>
        <w:t>- 16 - n° 11 qu’il occupait dans l’Hôtel [...], sis à [...] à [...]. Les flammes ont entièrement brûlé les combles et le bâtiment a été complètement détruit. Les occupants de six chambres et de l’appartement de l’hôtel ont été évacués avec l’aide des pompiers ou sont sortis par leurs propres moyens. Compte tenu de l’ampleur du sinistre, une cinquantaine de personnes habitant les immeubles voisins ont dû également être évacuées jusqu’au lendemain, en raison des dangers liés à la présence de monoxyde de carbone dans leur logement. Pour le surplus, les faits reprochés au prévenu – bien que contestés par Q.________ – ne font pas l’objet d’un appel, si bien que la Cour de céans peut se référer intégralement à l’exposé des faits tel qu’établi par l’autorité inférieure (art. 82 al. 4 CPP ; jugement du 16 novembre 2022, p. 25 ss). En d roit : 1. Interjetés dans les formes et délais légaux (art. 399 CPP [Code de procédure pénale suisse du 5 octobre 2007 ; RS 312.0]) par des parties ayant qualité pour recourir contre le jugement d’un tribunal de première instance qui a clos la procédure (art. 398 al. 1 CPP), l’appel de Q.________, ainsi que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w:t>
      </w:r>
    </w:p>
    <w:p>
      <w:r>
        <w:t>- 17 -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 TF 6B_481/2020 du 17 juillet 2020 consid. 1.2 ; TF 6B_952/2019 du 11 décembre 2019 consid. 2.1 ; TF 6B_727/2019 du 27 septembre 2019 consid. 1.3.1). 3. 3.1 A titre de mesure d’instruction, le défenseur de Q.________ a requis la mise en œuvre d’un complément d’expertise psychiatrique, subsidiairement l’audition des experts psychiatres. Il reproche en particulier aux experts de contredire le reste de leur rapport, en répondant « Non. » aux questions 4.5 et 5.5. 3.2 3.2.1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w:t>
      </w:r>
    </w:p>
    <w:p>
      <w:r>
        <w:t>- 18 -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3.2.2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w:t>
      </w:r>
    </w:p>
    <w:p>
      <w:r>
        <w:t>- 19 - aujourd'hui (Vuille, op. cit., n. 8a ad art. 189 CPP).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28 février 2018/162). Il y a notamment doute sur l'exactitude de l'expertise (cf. art. 189 let. c CPP)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op. cit., n. 17 ad art. 189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141 IV 369 consid. 6.1). La nécessité d'une nouvelle expertise dépend ainsi d'une appréciation de celle versée au dossier et des autres éléments de preuves (TF 6B_1365/2016 du 23 janvier 2017 et réf. cit.). 3.3 Au terme de leur rapport du 31 décembre 2021, à la question visant à déterminer si, dans l’hypothèse où un traitement ambulatoire était approprié, celui-ci serait entravé dans son application ou si ses chances de succès seraient notablement amoindries par l’exécution d’une</w:t>
      </w:r>
    </w:p>
    <w:p>
      <w:r>
        <w:t>- 20 - peine privative de liberté, les experts ont répondu par la négative (« Non. » ; cf. P. 69, pp. 38 et 40, questions 4.5 et 5.5). La Cour de céans ne partage pas l’appréciation de l’appelant au sujet d’une éventuelle contradiction des experts entre cette réponse et le reste de leur rapport. En effet, ils ont répondu clairement et de manière identique aux questions 4.5 et 5.5 posées, soit par un « Non. ». Au demeurant, il ne ressort pas du chapitre « Discussion » que l’exécution de la peine entraverait notablement les chances de succès du traitement ambulatoire. On ne saurait en effet déduire du fait que les experts ont exposé que le trouble de la personnalité présenté par Q.________ nécessitait un traitement psychiatrique intégré qui implique une part semi- institutionnelle et que les modalités alors mises en place, à savoir notamment un placement en appartement supervisé, associé à un suivi régulier psychiatrique et psychothérapeutique, paraissaient adaptées sur le plan psychiatrique, qu’un traitement ambulatoire serait entravé par l’exécution d’une peine privative de liberté. La Cour ne voit dans ces explications aucune contradiction avec la réponse claire et sans appel (« Non. ») à la question qui leur a été posée subséquemment de savoir si un traitement ambulatoire serait entravé dans son application ou si ses chances de succès seraient notablement amoindries par l’exécution d’une peine privative de liberté. Sur ce point, l’expertise ne souffre donc d’aucune inadvertance ou ambiguïté. Par ailleurs, l’expertise est complète, suffisamment étayée et ne comporte aucune contradiction avec les éléments au dossier. Partant, le rapport d’expertise ne souffre d’aucune ambiguïté de sorte qu’un complément d’expertise est vain. Les réquisitions de preuves sollicitées par Q.________ doivent par conséquent être rejetées, les conditions posées par l’art. 389 al. 2 et 3 CP n’étant pas réalisées. 4. 4.1 L’appelant conteste la peine qui lui a été infligée et fait valoir qu’il doit être condamné à une peine privative de liberté de 45 mois au maximum.</w:t>
      </w:r>
    </w:p>
    <w:p>
      <w:r>
        <w:t>- 21 - 4.2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4.2.2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w:t>
      </w:r>
    </w:p>
    <w:p>
      <w:r>
        <w:t>- 22 -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4.3 A l’instar des premiers juges, la Cour de céans retient que la culpabilité de Q.________ est très lourde. En effet, en boutant le feu à sa chambre d’hôtel, pour un motif futile de pure frustration, le prénommé a notamment mis en danger la vie et l’intégrité corporelle de nombreuses personnes, ce qu’il ne pouvait ignorer. Celles-ci s’en sont sorties parfois in extremis, grâce à leur courage ou l’intervention des pompiers, tandis que le prénommé avait quitté les lieux sans se soucier de leur vie. Les dégâts matériels sont par ailleurs colossaux. A cela s’ajoute que Q.________ persiste à nier les faits, malgré les éléments accablants réunis à son encontre, ce qui montre une absence totale de prise de conscience de sa faute et fait craindre la récidive. Ses antécédents sont mauvais, ne serait- ce qu’au regard des deux inscriptions que comporte son casier judiciaire pour des faits graves.</w:t>
      </w:r>
    </w:p>
    <w:p>
      <w:r>
        <w:t>- 23 - A décharge, on retiendra le parcours de vie de Q.________, dont l’enfance carencée, en particulier au niveau affectif, a été marquée par les conflits conjugaux, la violence et l’alcoolisme de son père, et le fait qu’il a séjourné à plusieurs reprises dans des hôpitaux psychiatriques ou a été placé en foyer. On retiendra également la stabilité sur le plan psychique mise en avant par son médecin traitant (P. 76/1). En revanche, c’est en vain que Q.________ se prévaut de son bon comportement durant l’instruction, dès lors qu’un tel comportement pouvait être attendu de lui, de même que de tout autre citoyen. Enfin, il convient de tenir compte de la diminution légère de la responsabilité du prénommé constatée par les experts, si bien que la faute de Q.________ doit finalement être qualifiée de lourde. Au vu de ces éléments, la culpabilité de Q.________ justifie donc le prononcé d’une peine privative de liberté de cinq ans, telle que prononcée par les premiers juges. L’appel de Q.________ doit donc être rejeté sur ce point.</w:t>
      </w:r>
    </w:p>
    <w:p>
      <w:r>
        <w:rPr>
          <w:b/>
        </w:rPr>
        <w:t>E. 5.1</w:t>
      </w:r>
    </w:p>
    <w:p>
      <w:r>
        <w:t>Le Ministère public soutient, dans son appel joint, que Q.________ doit être soumis à un traitement institutionnel au sens de l’art. 59 CP, dans la mesure où les traitements ambulatoires successifs mis en œuvre par le passé n’auraient pas permis de détourner l’appelant de la récidive et que le prononcé « [d’]un traitement ambulatoire, moins strict que la précédente mesure qui s’est avérée difficile à suivre ne peut pas être envisagé ou justifié ». A cet égard, le Ministère public se réfère au consid. 3.4 de l’ATF 134 IV 246 dont il découle qu’il n’est pas possible d’ordonner un second traitement ambulatoire après l’échec du premier et qu’il faut alors soit prononcer l’exécution d’une peine soit un traitement institutionnel.</w:t>
      </w:r>
    </w:p>
    <w:p>
      <w:r>
        <w:rPr>
          <w:b/>
        </w:rPr>
        <w:t>E. 5.2.1</w:t>
      </w:r>
    </w:p>
    <w:p>
      <w:r>
        <w:t>Aux termes de l'art. 56 CP, une mesure doit être ordonnée si une peine seule ne peut écarter le danger que l'auteur commette d'autres</w:t>
      </w:r>
    </w:p>
    <w:p>
      <w:r>
        <w:t>- 24 -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5.2.2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w:t>
      </w:r>
    </w:p>
    <w:p>
      <w:r>
        <w:t>- 25 -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(ATF 141 IV 1 consid. 3.2.4 ; ATF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(TF 6B_784/2010 du 2 décembre 2010 consid. 2.2.3 ; TF 6B_205/2012 du 27 juillet 2012 consid. 3.2.1).</w:t>
      </w:r>
    </w:p>
    <w:p>
      <w:r>
        <w:rPr>
          <w:b/>
        </w:rPr>
        <w:t>E. 5.2.3</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w:t>
      </w:r>
    </w:p>
    <w:p>
      <w:r>
        <w:rPr>
          <w:b/>
        </w:rPr>
        <w:t>E. 5.3</w:t>
      </w:r>
    </w:p>
    <w:p>
      <w:r>
        <w:t>En l’espèce, les premiers juges ont ordonné en application de l’art. 63 CP que Q.________ soit soumis à un traitement psychothérapeutique ambulatoire auprès du Service de médecine et psychiatrie pénitentiaires, en détention, ce qui correspond aux conclusions des experts psychiatres qui préconisent « un traitement intégré (prenant en compte sa dépendance à de multiples substances psychoactives) qui implique une</w:t>
      </w:r>
    </w:p>
    <w:p>
      <w:r>
        <w:t>- 26 - part semi-institutionnelle » (P. 69, p. 37). Ils ont précisé que le traitement ambulatoire ne serait pas entravé dans son application en cas d’exécution d’une peine privative de liberté (ibidem, p. 38, réponse 4.5). En revanche, les experts estiment qu’il est difficile d’évaluer la plus-value et la portée bénéfique qu’apporterait un traitement imposé dans ce contexte et se réfèrent aux constatations de l’Office d’application des peines et mesures de Neuchâtel dans sa décision du 14 septembre 2015, dont il ressort que le dernier traitement imposé à Q.________, − à savoir une mesure thérapeutique institutionnelle –, a eu peu d’impact thérapeutique (ibidem, pp. 37-38). Les conclusions expertales sont claires (voir consid. 3.3 supra), il n’y a donc pas lieu de s’en écarter. Au demeurant, c’est à tort que le Ministère public se réfère à l’ATF 134 IV 246, dès lors que cet arrêt vise le cas particulier de l’exécution de la peine privative de liberté suspendue au profit d’un traitement ambulatoire qui a échoué (art. 63b al. 5 CP), ce qui n’est pas le cas d’espèce. En définitive, le traitement ambulatoire ordonné est conforme aux conclusions expertales et respecte le principe de proportionnalité ancré à l’art. 56a al. 1 CP.</w:t>
      </w:r>
    </w:p>
    <w:p>
      <w:r>
        <w:rPr>
          <w:b/>
        </w:rPr>
        <w:t>E. 6.1</w:t>
      </w:r>
    </w:p>
    <w:p>
      <w:r>
        <w:t>L’appelant reproche au tribunal de première instance de n’avoir pas suspendu l’exécution de sa peine au profit du traitement ambulatoire ordonné.</w:t>
      </w:r>
    </w:p>
    <w:p>
      <w:r>
        <w:rPr>
          <w:b/>
        </w:rPr>
        <w:t>E. 6.2</w:t>
      </w:r>
    </w:p>
    <w:p>
      <w:r>
        <w:t>Au sens de l’art. 63 al. 2 CP, si la peine n’est pas compatible avec le traitement, le juge peut suspendre, au profit d’un traitement ambulatoire, l’exécution d’une peine privative de liberté ferme prononcée en même temps que le traitement. Dans un arrêt TF 6B_339/2014 du 27 novembre 2014, notre Haute Cour a rappelé que l’exécution de la peine avec un traitement</w:t>
      </w:r>
    </w:p>
    <w:p>
      <w:r>
        <w:t>- 27 - ambulatoire suivi en même temps était le principe et la suspension de la peine l'exception (ATF 129 IV 161 consid. 4.1 et 4.3 p. 162 ss ; en application du nouveau droit : v. arrêts TF 6B_335/2012 du 13 août 2012 consid. 2.1 ; TF 6B_807/2010 du 7 juillet 2011 consid. 4.1 ; TF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p. 162 ss ; en application du nouveau droit cf. TF 6B_95/2014 du 16 octobre 2014 consid. 3 ; TF 6B_335/2012 du 13 août 2012 consid. 2.1). La suspension ne pourra être ordonnée que si les deux conditions suivantes sont remplies : l’auteur ne doit pas constituer un danger pour la collectivité et le traitement ambulatoire doit s’avérer prioritaire (TF 6B_1250/2014 consid. 5.2 ; Quéloz/Zermatten, in : Moreillon/Macaluso/Queloz/Dongois [éd.], Commentaire romand, Code pénal I, Art. 1-110 CP, 2e éd. 2021, n. 22 ad. art. 63 CP). S’agissant de la première condition, la probabilité que l’auteur puisse commettre des infractions avec violence suffit pour exclure la suspension de la peine (Heer in : Niggli/ Wiprächtiger [éd.], Basler Kommentar Strafrecht I, 4e éd. 2019, n. 43 ad art. 63 CP). La seconde condition suppose, selon la lettre de l’art. 63 al. 2 CP, que l’exécution de la peine privative de liberté ne soit</w:t>
      </w:r>
    </w:p>
    <w:p>
      <w:r>
        <w:t>- 28 - pas compatible avec la mesure (Quéloz/Zermatten, op. cit., n. 25 ad art. 63 CP), en ce sens que la suspension est accordée par le juge s’il estime que subir la peine privative de liberté entraverait sérieusement les perspectives de succès du traitement (TF 6B_1150/2014 du 19 novembre 2015 consid. 3.2.2 ; Quéloz/Zermatten, op. cit. n. 25 ad art. 63 CP). S’agissant de la durée de la peine privative de liberté pouvant être suspendue, le Tribunal fédéral a estimé que même une peine de réclusion de six ans infligée pour des crimes contre l’intégrité sexuelle pouvait être suspendue au profit d’un traitement ambulatoire, mais qu’il sera fait usage de cette faculté qu’avec davantage de retenue, en exigeant que l’intéressé soit gravement perturbé, que les chances de succès du traitement soient particulièrement élevées et que le risque de compromettre le traitement par une exécution simultanée de la peine soit très important (ATF 119 IV 309 consid. 8b ; Quéloz/Zermatten, op. cit. n. 26 ad 63 CP). Dans le cas d’une peine privative de liberté de plus de deux ans, les juges doivent agir avec retenue et présenter de solides arguments (Quéloz/Zermatten, op. cit. n. 26 ad 63 CP). Le traitement doit offrir une réelle perspective de traiter avec succès un délinquant souffrant de graves troubles mentaux (Heer, op. cit., n. 58 et 59 ad art. 63 CP).</w:t>
      </w:r>
    </w:p>
    <w:p>
      <w:r>
        <w:rPr>
          <w:b/>
        </w:rPr>
        <w:t>E. 6.3</w:t>
      </w:r>
    </w:p>
    <w:p>
      <w:r>
        <w:t>Q.________ ayant été condamné à une peine privative de liberté de cinq ans, il convient d’apprécier avec retenue si les conditions posées par la jurisprudence susmentionnée sont réalisées. S’agissant de la première condition, à savoir que l’auteur ne doit pas constituer un danger pour la collectivité, on constatera d’abord que les experts psychiatres ont retenu, indépendamment du fait que Q.________ ait été ou non l’auteur de l’incendie, un risque modéré de récidive d’acte illicite de quelque type que cela soit, dont des actes de violence (P. 69, p. 37). En présence d’un risque de récidive d’actes de violence, la suspension de la peine privative de liberté au profit du</w:t>
      </w:r>
    </w:p>
    <w:p>
      <w:r>
        <w:t>- 29 - traitement ambulatoire ordonné parait devoir être exclue pour ce motif déjà. Quoi qu’il en soit, il sied également de relever que le traitement psychiatrique intégré à l’Unité de psychiatrie ambulatoire du secteur psychiatrique Nord, entamé depuis 2016 par Q.________ ne l’a pas dissuadé de consommer de grandes quantités d’alcool – une à deux bouteilles de vodka par jour en début de mois selon ses dires (PV aud. 3) – et de commettre un incendie volontaire par lequel il a créé en danger collectif. Par ailleurs, l’absence de reconnaissance des faits par l’intéressé, ainsi que ses antécédents, achève de convaincre la Cour de céans du fait que la dangerosité présentée par Q.________ fait obstacle à la suspension de l’exécution de sa peine au profit du traitement ambulatoire. Par surabondance, on relèvera s’agissant de la seconde condition posée par la jurisprudence, que les experts ont répondu par la négative à la question de savoir si le traitement ambulatoire serait entravé dans son application ou si ses chances de succès seraient notablement amoindries par l’exécution d’une peine privative de liberté. Partant, l’exécution de la peine privative de liberté combinée avec un traitement ambulatoire n’apparait pas incompatible. Le fait que l’intéressé semblait bénéficier du suivi mis en place qu’il investissait de manière positive, qu’un tel suivi soit indiqué sur le plan psychiatrique selon les experts (cf. P. 69, p. 39), et que Q.________ appelle de ses vœux la poursuite de son suivi à la SISP, où il se sentait « très entouré pour la première fois de sa vie (…) en sécurité et vraiment apaisé » (cf. PV aud. du 23 mai 2023, p. 4) ne permet pas non plus de retenir que la peine privative de liberté entraverait sérieusement les perspectives de succès du traitement ambulatoire. Ce d’autant que Q.________ a systématiquement mis en échec les très nombreuses modalités d’exécution de sa mesure thérapeutique institutionnelle mises en place par le passé, et ce, malgré des débuts encourageants (P. 69, p. 20). On ne peut ainsi pas retenir que les perspectives de succès de la poursuite du traitement ambulatoire hors de la prison, y compris dans une structure telle que la SISP, soient particulièrement élevées.</w:t>
      </w:r>
    </w:p>
    <w:p>
      <w:r>
        <w:t>- 30 - Au vu de ce qui précède, il n’y a pas lieu de suspendre l’exécution de la peine de Q.________ au profit du traitement ambulatoire ordonné et l’appel du prénommé doit être rejeté sur ce point également.</w:t>
      </w:r>
    </w:p>
    <w:p>
      <w:r>
        <w:rPr>
          <w:b/>
        </w:rPr>
        <w:t>E. 7</w:t>
      </w:r>
    </w:p>
    <w:p>
      <w:r>
        <w:t>Conformément à l’art. 51 CP, la détention subie par Q.________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des risques de fuite et de réitération (art. 221 al. 1 let. a et c CPP ; CREP 5 décembre 2022/932) qu’il présente.</w:t>
      </w:r>
    </w:p>
    <w:p>
      <w:r>
        <w:rPr>
          <w:b/>
        </w:rPr>
        <w:t>E. 8</w:t>
      </w:r>
    </w:p>
    <w:p>
      <w:r>
        <w:t>En conclusion, l'appel de Q.________ ainsi que l’appel joint du Ministère public doivent être rejetés et le jugement attaqué intégralement confirmé. Me Caroline Matthey-Marchesi a produit une liste d’opérations (P. 123) faisant état d’un temps total consacré au mandat de 26 heures et 27 minutes (26,45h.). L’avocate indique toutefois avoir consacré 120 minutes à des recherches juridiques, ainsi que 360 minutes à la préparation de l’audience. Toutefois, lors des débats, l’avocate précitée n’a posé qu’une question à Q.________, tandis que son confrère, Me Julien Marquis a assuré pour le surplus la défense du prévenu. Sur question de la Cour, celui-ci a déclaré agir pro bono. Le mandat de défense d’office est personnel et doit donc être exercé ad personam par l’avocat désigné. Dans la mesure où l’avocate précitée n’a pas fait appel à un collaborateur, mais à un confrère, qui défend donc les intérêts de Q.________ en qualité de défenseur de choix, et où celui-ci est principalement intervenu aux débats, il se justifie de ne pas rémunérer les opérations relatives à des recherches juridiques et à la préparation de l’audience. En outre, s’agissant de la durée de l’audience, il convient de comptabiliser 75 minutes et non 240 minutes. Partant, c’est une indemnité de 3'507 fr., correspondant à 15 heures et 50 minutes d’activité au tarif de</w:t>
      </w:r>
    </w:p>
    <w:p>
      <w:r>
        <w:t>- 31 - 180 fr., par 2’850 fr., des débours forfaitaires à concurrence de 2 % (art. 3bis al. 1 RAJ [Règlement sur l’assistance judiciaire en matière civile du 7 décembre 2010 ; BLV 211.02.3], applicable par renvoi de l’art. 26b TFIP), par 57 fr., et cinq vacations à 120 fr., qui doit être allouée à Me Caroline Matthey-Marchesi, celle-ci n’étant pas soumise à la TVA. Vu l’issue de la cause et compte tenu du rejet de l’appel joint du Ministère public, les frais de la procédure d'appel, par 7'617 fr., constitués en l’espèce de l’émolument d’audience et de jugement, par 4’110 fr. (art. 21 al. 1 et 2 TFIP [tarif des frais de procédure et indemnités en matière pénale du 28 septembre 2010 ; BLV 312.03.1]), ainsi que de l’indemnité allouée au défenseur d'office du prévenu, seront mis par moitié, soit par 3'808 fr. 50, à la charge de Q.________ (art. 428 al. 1 CPP), le solde étant laissé à la charge de l’Etat. Q.________ ne sera tenu de rembourser à l'Etat la moitié de l’indemnité allouée à son défenseur d’office que lorsque sa situation financière le permettra (art. 135 al. 4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