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PE20.002350 vom 7. April 2022</w:t>
      </w:r>
    </w:p>
    <w:p>
      <w:r>
        <w:t>VD Tribunal cantonal, 2022-04-07, FR</w:t>
      </w:r>
    </w:p>
    <w:p>
      <w:r>
        <w:rPr>
          <w:b/>
        </w:rPr>
        <w:t xml:space="preserve">Quelle: </w:t>
      </w:r>
      <w:r>
        <w:t>https://mcp.opencaselaw.ch/entscheid/vd_gerichte_PE20.002350</w:t>
      </w:r>
    </w:p>
    <w:p>
      <w:r>
        <w:t>FR: VD_GERICHTE PE20.002350 du 7 avril 2022</w:t>
      </w:r>
    </w:p>
    <w:p>
      <w:r>
        <w:t>IT: VD_GERICHTE PE20.002350 del 7 aprile 2022</w:t>
      </w:r>
    </w:p>
    <w:p>
      <w:pPr>
        <w:pStyle w:val="Heading2"/>
      </w:pPr>
      <w:r>
        <w:t>Erwägungen</w:t>
      </w:r>
    </w:p>
    <w:p>
      <w:r>
        <w:rPr>
          <w:b/>
        </w:rPr>
        <w:t>E. 5</w:t>
      </w:r>
    </w:p>
    <w:p>
      <w:r>
        <w:t>septembre 2023 consid. 2.1.2). Le refus d'entrer en matière s'impose alors pour des motifs d'économie de procédure, car si la situation est évidente, il n'y a pas de raison que l'autorité requière des déterminations (art. 412 al. 3 CPP) pour ensuite rejeter la demande (art. 413 al. 1 CPP ; TF 6B_206/2024 précité ; TF 6B_240/2023 du 10 janvier 2024 consid. 2.2 ; TF 6B_596/2023 du 31 août 2023 consid. 4). La révision ne doit pas servir à</w:t>
      </w:r>
    </w:p>
    <w:p>
      <w:r>
        <w:t>- 5 -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Le motif de révision d’emblée non vraisemblable se conçoit en lien avec l’examen des faits et des moyens de preuves invoqués à l’appui de la demande de révision (CAPE 26 mai 2025/272 consid. 1.2 ; CAPE 17 février 2021/155 consid. 1.3). 1.3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w:t>
      </w:r>
    </w:p>
    <w:p>
      <w:r>
        <w:t>- 6 - 137 IV 59 précité consid. 5.1.4 ; TF 6B_206/2024 précité et les références citées). 2. En l’espèce, l’arrêt de la Cour d’appel pénale du 31 janvier 2023 a notamment relevé que C.________ prenait beaucoup de liberté avec les faits et refaisait l’histoire à sa manière pour appuyer son argumentation et que sa version était en partie contredite par les éléments du dossier, se référant notamment implicitement aux déclarations des témoins. A l’appui de sa demande de révision, le requérant affirme avoir beaucoup réfléchi et pouvoir enfin expliquer comment son couteau avait pu s’ouvrir et blesser gravement sa victime sans qu’il en ait l’intention. Il avance sa nouvelle version du déroulement des faits de la manière suivante : « A votre question, à savoir « comment le couteau s’était-il ouvert ? », je réponds ceci : étant en équerre dans ma main droite, la lame du couteau s’est accrochée à mon pantalon (jeans) au niveau de la cuisse droite et m’a aussi coupé. Cela a fini par ouvrir complètement le couteau. Tout cela explique pourquoi je n’ai pu répondre à votre question car ces choses se sont passées indépendamment de ma volonté de vouloir chercher à nuire à la personne de M. P.________ » En annexe à sa demande, il produit une bande dessinée explicative, réalisée par un dessinateur qu’il a mandaté, retraçant – à tout le moins partiellement – sa nouvelle version des faits. En tant qu’il s’agit d’une simple appréciation personnelle, dénuée non seulement d’éléments objectifs, mais également de toute crédibilité, il faut admettre que les nouveaux éléments présentés ne constituent manifestement pas des faits nouveaux susceptibles d’ébranler les constatations de fait sur lesquelles repose sa condamnation pour assassinat.</w:t>
      </w:r>
    </w:p>
    <w:p>
      <w:r>
        <w:t>- 7 - Dès lors, la demande de révision, qui ne repose sur aucun fait ou moyen de preuve nouveau et sérieux au sens de la jurisprudence précitée, est manifestement irrecevable au sens de l’art. 412 al. 2 CPP. 3. En définitive, la demande de révision déposée par C.________ doit être déclarée irrecevable, sans échange d’écritures (art. 412 al. 2 CPP). Les frais de la procédure de révision, constitués du seul émolument d’arrêt, par 660 fr. (art. 21 al. 1 et 22 TFIP [tarif des frais de procédure et indemnités en matière pénale du 28 septembre 2010 ; BLV 312.03.1],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