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PE20.002287 vom 18. November 2020</w:t>
      </w:r>
    </w:p>
    <w:p>
      <w:r>
        <w:t>VD Tribunal cantonal, 2020-11-18, FR</w:t>
      </w:r>
    </w:p>
    <w:p>
      <w:r>
        <w:rPr>
          <w:b/>
        </w:rPr>
        <w:t xml:space="preserve">Quelle: </w:t>
      </w:r>
      <w:r>
        <w:t>https://mcp.opencaselaw.ch/entscheid/vd_gerichte_PE20.002287</w:t>
      </w:r>
    </w:p>
    <w:p>
      <w:r>
        <w:t>FR: VD_GERICHTE PE20.002287 du 18 novembre 2020</w:t>
      </w:r>
    </w:p>
    <w:p>
      <w:r>
        <w:t>IT: VD_GERICHTE PE20.002287 del 18 novembre 2020</w:t>
      </w:r>
    </w:p>
    <w:p>
      <w:pPr>
        <w:pStyle w:val="Heading2"/>
      </w:pPr>
      <w:r>
        <w:t>Erwägungen</w:t>
      </w:r>
    </w:p>
    <w:p>
      <w:r>
        <w:rPr>
          <w:b/>
        </w:rPr>
        <w:t>E. 1</w:t>
      </w:r>
    </w:p>
    <w:p>
      <w:r>
        <w:t>Notamment à [...], entre le 20 décembre 2019 et le 31 janvier 2020, B.________ a adressé une grande quantité de messages à P.________, via l'application Whatsapp, l'injuriant et la menaçant. Il lui a envoyé, quelque 80 messages, dans lesquels il la menaçait notamment de mort et de la frapper. Il lui a également envoyé une cinquantaine de messages la traitant notamment de « Bitch », soit de « pute » et lui disant « fuck off » soit « va te faire foutre ». Pour ces faits, P.________ a déposé plainte le 17 mars 2020, en se constituant partie plaignante, demanderesse au pénal et au civil.</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w:t>
      </w:r>
    </w:p>
    <w:p>
      <w:r>
        <w:t>- 13 -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w:t>
      </w:r>
    </w:p>
    <w:p>
      <w:r>
        <w:rPr>
          <w:b/>
        </w:rPr>
        <w:t>E. 3</w:t>
      </w:r>
    </w:p>
    <w:p>
      <w:r>
        <w:t>L’appelant conclut à sa libération de l'infraction de contrainte, retenue en raison du fait qu'il aurait fermé le portail de son domicile pour obliger P.________ à revenir nettoyer le logement. Il soutient que la version de la plaignante serait incohérente et contradictoire parce qu'elle aurait déclaré que le portail était ouvert lorsqu'elle avait regagné sa voiture et qu'il était fermé lorsqu'elle avait manœuvré pour sortir. Les déclarations de l'appelant seraient plus crédibles, puisqu'il aurait de façon constante déclaré que le portail était fermé, qu'il l'avait ouvert à la demande de la plaignante, qu'il lui avait dit par téléphone de revenir nettoyer l'appartement alors que le portail était en train de s'ouvrir et qu'elle s'était alors exécutée de sa propre initiative et par amour, dans l'espoir d'une réconciliation.</w:t>
      </w:r>
    </w:p>
    <w:p>
      <w:r>
        <w:rPr>
          <w:b/>
        </w:rPr>
        <w:t>E. 3.1</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w:t>
      </w:r>
    </w:p>
    <w:p>
      <w:r>
        <w:t>- 14 -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(CR CPP), n.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w:t>
      </w:r>
    </w:p>
    <w:p>
      <w:r>
        <w:t>- 15 -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Les déclarations de la victime constituent un élément de preuve. Le juge doit, dans l'évaluation globale de l'ensemble des éléments probatoires rassemblés au dossier, les apprécier librement (TF 6B_1283/2018 du 14 février 2019 consid. 1.3; TF 6B_1306/2017 du 17 mai 218 consid. 2.1.1; TF 6B_942/2017 du</w:t>
      </w:r>
    </w:p>
    <w:p>
      <w:r>
        <w:rPr>
          <w:b/>
        </w:rPr>
        <w:t>E. 3.2</w:t>
      </w:r>
    </w:p>
    <w:p>
      <w:r>
        <w:t>En l’espèce, aux débats de première instance, l'appelant a admis les faits tels que relatés par la plaignante, ainsi que la perception qu'elle en avait eue. Entendue à son domicile de […] le 7 février 2020 après avoir contacté la Police Riviera à 4h10, la plaignante a notamment déclaré</w:t>
      </w:r>
    </w:p>
    <w:p>
      <w:r>
        <w:t>- 16 - qu'après une grande discussion, le prévenu avait accepté qu'elle parte, qu'elle s'était rendue au parking, qu'elle avait pris sa voiture et qu'à ce moment-là, elle avait constaté que le portail était ouvert. Elle avait effectué une manœuvre dans le but de partir et avait constaté qu'il avait refermé le portail pour l'empêcher de quitter les lieux. Elle avait tenté de le joindre par téléphone, mais il ne répondait pas, puis lui avait envoyé un message pour lui demander d'ouvrir le portail. Il lui avait répondu qu'elle devait retourner dans le logement afin de tout nettoyer et qu'après elle pourrait partir, ce qu'elle avait fait (P. 4, p. 4 in fine p. 5). P.________ a donné la même version lors de son audition par le Ministère public le 8 février 2020 en donnant davantage de détails, notamment qu'elle avait pensé enjamber le portail et partir à pied en laissant sa voiture, mais que finalement elle avait espéré qu'il lui disait la vérité et qu'il la laisserait partir si elle retournait nettoyer (PV aud. 2, p. 3 in fine). Quoi qu'en dise l'appelant, la version de la plaignante n'a rien d'incohérent, ni de contradictoire. Elle a au contraire été constante, comme on vient de le voir, et corroborée par certaines émotions manifestées lors des débats. Le portail a été refermé par l'auteur pour la bloquer alors qu'elle manœuvrait pour sortir de l'endroit clos où elle avait parqué sa voiture, dans le but de la contraindre à revenir et à nettoyer l'appartement. Comme l'a relevé le premier juge, l'appelant a reconnu des violences verbales et physiques à l'encontre de la plaignante, notamment le soir des faits contestés, et l'acte de contrainte qui lui est reproché s'inscrit parfaitement dans ce contexte. La version du prévenu n'est quant à elle absolument pas crédible. Au vu de l'état d'esprit de la plaignante, qui fuyait les lieux après avoir été injuriée, menacée et blessée physiquement, il paraît évident qu'elle ne serait pas revenue spontanément faire le ménage uniquement parce que l'appelant le demandait. Il est également invraisemblable qu'elle soit revenue faire le ménage dans ce contexte par amour pour le prévenu, même si les sentiments qu'elle éprouvait pour lui l'ont très probablement amenée à croire qu'il tiendrait parole si elle se soumettait à son exigence, comme elle l'a déclaré. Le fait que la plaignante ait tenté de recontacter et/ou de revoir le prévenu depuis lors ne change rien à cette appréciation, tant il</w:t>
      </w:r>
    </w:p>
    <w:p>
      <w:r>
        <w:t>- 17 - est vrai que ce genre de comportement est fréquent dans les affaires de violences domestiques. On ne discerne dès lors aucune constatation inexacte ou erronée des faits. 4. L'appelant conteste ensuite que le moyen utilisé pour réaliser l'infraction de contrainte soit d'une intensité suffisante. Selon lui, en fermant le portail pour empêcher le départ de la plaignante, il ne l'aurait pas entravée d'une manière similaire à l'usage de la violence ou de la menace d'un dommage sérieux, d'autant qu'elle aurait envisagé d'escalader le portail et de s'en aller à pied en laissant sa voiture sur place. 4.1 Se rend coupable de contrainte selon l’art. 181 CP (Code pénal du 21 décembre 1937; RS 311.0)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w:t>
      </w:r>
    </w:p>
    <w:p>
      <w:r>
        <w:t>- 18 - sensibilité moyenne et à l’entraver d’une manière substantielle dans sa liberté de décision ou d’action. Il s’agit donc de moyens de contrainte qui, par leur intensité et leur effet, sont analogues à ceux qui sont cités expressément par la loi (ATF 141 IV 437 consid. 3.2.1; ATF 137 IV 326 consid. 3.3.1). Des entraves à la liberté de déplacement, par exemple par un piquet de grève ou d'autres manifestations sur la voie publique (blocage d'un véhicule à moteur durant une quinzaine de minutes, blocage des barrières d'un passage à niveau ou le fait de priver une personne de la clé de sa voiture en un lieu désert), peuvent réaliser l'infraction de contrainte (Dupuis et alii, Petit commentaire du Code pénal, 2e éd., Bâle 2017, n. 18 ad art. 181 CP). 4.2 En l'espèce, la liberté de déplacement de la plaignante a été illicitement restreinte pour la forcer à revenir dans le logement de l'auteur et l'obliger à accomplir un acte de soumission en nettoyant le désordre, les débris et les salissures causés par la dispute. L'intensité était suffisante dès lors que l'alternative consistait à s'en aller en laissant son véhicule sur place, ce qui représentait l'inconvénient de faire appel à un taxi ou de rentrer à pied tard dans la nuit sur une distance de plusieurs kilomètres, et de ne plus disposer de son véhicule pour une durée indéterminée mais à tout le moins durant plusieurs heures. La condamnation d'B.________ pour contrainte doit donc être confirmée.</w:t>
      </w:r>
    </w:p>
    <w:p>
      <w:r>
        <w:rPr>
          <w:b/>
        </w:rPr>
        <w:t>E. 5</w:t>
      </w:r>
    </w:p>
    <w:p>
      <w:r>
        <w:t>La peine prononcée à l'encontre d’B.________ n'est contestée que dans la mesure où il a conclu à son acquittement. La peine fixée par le premier juge l'a été conformément aux principes applicables (art. 34 et 47 CP), compte tenu de sa culpabilité et de sa situation personnelle. Les éléments retenus en page 15 du jugement ne prêtent pas le flanc à la critique. La peine de 30 jours-amende à 200 fr. le jour infligée à B.________</w:t>
      </w:r>
    </w:p>
    <w:p>
      <w:r>
        <w:t>- 19 - est dès lors adéquate et doit être confirmée, y compris l’octroi du sursis subordonné à un traitement, auquel l’intéressé a adhéré.</w:t>
      </w:r>
    </w:p>
    <w:p>
      <w:r>
        <w:rPr>
          <w:b/>
        </w:rPr>
        <w:t>E. 6</w:t>
      </w:r>
    </w:p>
    <w:p>
      <w:r>
        <w:t>L'appelant soutient enfin que l’indemnisation qui lui a été allouée à titre de tort moral pour les trois jours de détention qu’il a subis dans des conditions illicites, sous la forme de deux jours de détention à déduire de sa peine, violerait l’art. 431 CPP.</w:t>
      </w:r>
    </w:p>
    <w:p>
      <w:r>
        <w:rPr>
          <w:b/>
        </w:rPr>
        <w:t>E. 6.1.1</w:t>
      </w:r>
    </w:p>
    <w:p>
      <w:r>
        <w:t>Aux termes de l’art. 431 al. 1 CPP, si le prévenu a, de manière illicite, fait l’objet de mesures de contrainte, l’autorité pénale lui alloue une juste indemnité en réparation du tort moral. La Cour européenne des droits de l'Homme a en effet admis qu'en cas de traitement prohibé par l'art. 3 CEDH (Convention de sauvegarde des droits de l’homme et des libertés fondamentales du 4 novembre 1950; RS 0.1019),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Rezmives et autres contre Roumanie du 25 avril 2017 [requêtes nos 61467/12, 39516/13, 48231/13 et 68191/13] § 125; Shishanov contre République de Moldova du 15 septembre 2015 [requête no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CAPE 10 octobre 2014/300 consid. 2.2).</w:t>
      </w:r>
    </w:p>
    <w:p>
      <w:r>
        <w:t>- 20 - Lorsque la peine prononcée est assortie du sursis (cf. art. 42 ss CP), la situation présente toutefois certaines spécificités. Dans un tel cas,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eu l'occasion d'indiquer qu'une réduction de la peine ne constituait pas une réparation adéquate lorsque la part de la peine encore à exécuter était assortie du sursis (arrêt CEDH Geisterfer c. Pays-Bas du 9 décembre 2014, no 15911/08, par. 28 et 29 ; cf. ég. arrêt CEDH Ananyev et autres c. Russie du 10 janvier 2012 [requêtes nos 42525/07 et 60800/08],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(CAPE 16 janvier 2017/54 consid. 2.3.2).</w:t>
      </w:r>
    </w:p>
    <w:p>
      <w:r>
        <w:rPr>
          <w:b/>
        </w:rPr>
        <w:t>E. 6.1.2</w:t>
      </w:r>
    </w:p>
    <w:p>
      <w:r>
        <w:t>Selon le Tribunal fédéral, un montant de 200 fr. par jour en cas de détention injustifiée de courte durée constitue une indemnité appropriée, dans la mesure où il n'existe pas de circonstances particulières qui pourraient fonder le versement d'un montant inférieur ou supérieur (ATF 143 IV 339 consid. 3.1; TF 6B_909/2015 du 22 juin 2016 consid. 2.2.1;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w:t>
      </w:r>
    </w:p>
    <w:p>
      <w:r>
        <w:t>- 21 - journalier de l'indemnité (ATF 143 IV 339 précité et les références citées ; ATF 113 Ib 155 consid. 3b; TF 6B_909/2015 précité). Une période de détention dans des conditions illicites porte moins préjudice au prévenu qu'une détention injustifiée, la privation de liberté étant, dans le premier cas, légitime. Le Tribunal fédéral a ainsi admis que l'on puisse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m2 par rapport au standard recommandé (TF 6B_1057/2015 du 25 mai 2016 consid. 5.3).</w:t>
      </w:r>
    </w:p>
    <w:p>
      <w:r>
        <w:rPr>
          <w:b/>
        </w:rPr>
        <w:t>E. 6.2</w:t>
      </w:r>
    </w:p>
    <w:p>
      <w:r>
        <w:t>En l’espèce, l’appelant a raison lorsqu’il soutient qu’il ne peut pas être indemnisé par une déduction de jours de détention, étant donné qu’il a été condamné à une peine pécuniaire avec sursis. Le montant de 200 fr. par jour qu’il réclame est toutefois excessif, un tel montant correspondant à l’indemnisation journalière en cas de détention injustifiée; un montant de l’ordre de 30 fr. par jour apparaît dès lors adéquat, pour une détention dans des conditions illicites en zone carcérale durant trois jours (cf. p. ex. CAPE 3 septembre 2020/286 consid. 4.4.3). Il se justifie ainsi d’allouer à B.________ une indemnité en réparation du tort moral de 100 fr. (3 jours x 30 fr., montant arrondi à 100 fr.), somme qui ne peut pas être compensée avec les frais de justice.</w:t>
      </w:r>
    </w:p>
    <w:p>
      <w:r>
        <w:rPr>
          <w:b/>
        </w:rPr>
        <w:t>E. 7</w:t>
      </w:r>
    </w:p>
    <w:p>
      <w:r>
        <w:t>Au vu de ce qui précède, l’appel doit être partiellement admis et le jugement entrepris réformé dans le sens du considérant qui précède. Vu l’issue de la cause, les frais de la procédure d’appel, par 2'050 fr., constitués des émoluments de jugement et d’audience</w:t>
      </w:r>
    </w:p>
    <w:p>
      <w:r>
        <w:t>- 22 - (art. 21 al. 1 et 2 TFIP [Tarif des frais de procédure et indemnités en matière pénale du 28 septembre 2010; BLV 312.03.1]), seront mis par 4/5èmes, soit par 1'640 fr., à la charge d’B.________,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