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PE20.001859 vom 23. Juni 2022</w:t>
      </w:r>
    </w:p>
    <w:p>
      <w:r>
        <w:t>VD Tribunal cantonal, 2022-06-23, FR</w:t>
      </w:r>
    </w:p>
    <w:p>
      <w:r>
        <w:rPr>
          <w:b/>
        </w:rPr>
        <w:t xml:space="preserve">Quelle: </w:t>
      </w:r>
      <w:r>
        <w:t>https://mcp.opencaselaw.ch/entscheid/vd_gerichte_PE20.001859</w:t>
      </w:r>
    </w:p>
    <w:p>
      <w:r>
        <w:t>FR: VD_GERICHTE PE20.001859 du 23 juin 2022</w:t>
      </w:r>
    </w:p>
    <w:p>
      <w:r>
        <w:t>IT: VD_GERICHTE PE20.001859 del 23 giugno 2022</w:t>
      </w:r>
    </w:p>
    <w:p>
      <w:pPr>
        <w:pStyle w:val="Heading2"/>
      </w:pPr>
      <w:r>
        <w:t>Erwägungen</w:t>
      </w:r>
    </w:p>
    <w:p>
      <w:r>
        <w:rPr>
          <w:b/>
        </w:rPr>
        <w:t>E. 22</w:t>
      </w:r>
    </w:p>
    <w:p>
      <w:r>
        <w:t>juin 2022, le Ministère public a abandonné l’accusation. Le Tribunal correctionnel a libéré le prévenu des chefs d’accusation dirigés contre lui en raison des faits précités, au bénéfice du doute. En d roit : 1. Interjeté dans les formes et délais légaux (art. 399 CPP) par une partie qui a la qualité pour recourir contre le jugement d'un tribunal de première instance ayant clos la procédure (art. 398 al. 1 CPP), l’appel de G.________ est recevable.</w:t>
      </w:r>
    </w:p>
    <w:p>
      <w:r>
        <w:t>- 12 - 2.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qui a déposé une déclaration d’appel non motivée, a soutenu, en plaidoirie, que sa version des faits, qu’elle avait décrits dans sa plainte, devait emporter la conviction, au vu notamment des témoignages de sa fille et de [...], entendues dans le cadre de l’enquête, du traumatisme vécu du fait de ces événements, tel que rapporté par le psychiatre, ainsi que de la cohérence et constance de ses déclarations, au contraire de celles du prévenu. Selon elle, les faits exposés dans l’acte d’accusation doivent donc être retenus et conduire à la condamnation de Z.________ pour tous les chefs d’accusation. 3.2 3.2.1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- 13 -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 3.2.2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w:t>
      </w:r>
    </w:p>
    <w:p>
      <w:r>
        <w:t>- 14 - les mêmes circonstances, contraint une personne de sexe féminin à subir l'acte sexuel se rend coupable de viol au sens de l'art. 190 CP.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6B_570/2012 du 26 novembre 2012 consid. 1.2 ; TF 6S.126/2007 du 7 juin 2007 consid. 6.2).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6B_502/2017 du 16 avril 2018 consid. 1.1 ; TF 6B_710/2012 du 3 avril 2013 consid. 3.1 ; TF 6B_311/2011 du 19 juillet 2011 consid. 5.2).</w:t>
      </w:r>
    </w:p>
    <w:p>
      <w:r>
        <w:t>- 15 - Sur le plan subjectif, la contrainte sexuelle et le viol sont des infractions intentionnelles. L'auteur doit savoir que la victime n'est pas consentante ou en accepter l'éventualité. Déterminer ce qu'une personne a su, voulu, envisagé ou accepté relève du contenu de la pensée, à savoir de faits « internes » qui, en tant que tels, lient le Tribunal fédéral, à moins qu'ils aient été retenus de manière arbitraire.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6B_894/2021 du 28 mars 2022 consid. 3.4 et les références citées). 3.3 En l’espèce, se fondant sur les premières déclarations de la plaignante (P. 6), les premiers juges ont considéré que G.________ n’avait jamais dit à Z.________ qu’elle ne voulait pas de relation sexuelle, qu’elle l’avait aidé à la déshabiller, qu’elle s’était seulement plainte de la brusquerie des gestes du prévenu et qu’elle avait estimé pour le surplus qu’il ne servait à rien de manifester son opposition. Il fallait donc considérer, au bénéfice du doute, que le prévenu n’était pas en mesure de se rendre compte que la plaignante s’opposait au principe même de la relation sexuelle. Cette appréciation doit être confirmée pour les raisons qui suivent. Lors du dépôt de la plainte, le 13 janvier 2020, soit moins de deux semaines après les faits, G.________ a déclaré à la police (P. 6) qu’alors qu’ils se trouvaient dans la cuisine, Z.________ l’avait tirée par la main en réclamant un « gros câlin », qu’elle avait dit non en tirant dans l’autre sens, qu’il avait tiré plus fort, qu’elle lui avait dit « tes amis vont arriver », en ajoutant « il faut préparer le souper, la porte-fenêtre est ouverte », qu’elle « n’arrêtai[t] pas d’argumenter pour ne pas y aller »,</w:t>
      </w:r>
    </w:p>
    <w:p>
      <w:r>
        <w:t>- 16 - qu’il avait répondu que tout était prêt, que « du coup » elle n’avait pas eu « d’autre choix que de monter » et qu’elle s’était dit « on passe cinq minutes là-haut, je lui fais quelques caresses, je le soulage et on pourra redescendre et prendre le cours normal des choses ». Arrivés dans la chambre à coucher, le prévenu l’avait poussée sur le lit mais, selon ses propres termes, elle n’avait « pas pris cela pour un geste violent ». Elle a expliqué qu’il avait alors commencé à la caresser, qu’il s’était couché à côté d’elle, qu’il avait essayé de la déshabiller mais qu’il lui faisait mal, qu’elle s’était plainte de cela et qu’elle l’avait aidé à la déshabiller en disant « mais sois un peu plus doux ». Après cela, alors qu’ils étaient les deux entièrement nus, il avait eu des propos agressifs et injurieux, la traitant de « salope » et de « cochonne ». La plaignante a ajouté que si jusque-là elle avait essayé de se « détendre », c’en était terminé, que dès cet instant, elle n’avait « qu’une idée, c’était de lui échapper car il n’entendait pas [s]es craintes, [ses] cris, il n’entendait plus rien ». Le prévenu lui avait alors imposé physiquement fellation et cunnilingus, avant d’ajouter « t’as même pas de plaisir, je veux te faire jouir », à quoi elle avait répondu « mais je ne vois pas comment ». Il l’avait ensuite pénétrée de force. Elle avait l’impression qu’il ne l’entendait plus et avait décidé de ne plus émettre un son. Ensuite, alors qu’il continuait à la pénétrer, elle lui avait signalé que le téléphone sonnait. Lorsqu’il s’était levé pour répondre, elle s’était rhabillée. Il était alors revenu et voulait continuer. A ce moment, se sentant « moins vulnérable », elle lui avait dit « non, non, on verra ça plus tard, on va s’occuper du souper », dans l’optique de fuir. Il s’était lui aussi rhabillé en disant qu’ils allaient continuer plus tard, à quoi elle avait répondu « oui oui ». Ils étaient ensuite descendus, avaient vaqué à diverses occupations, puis, pendant qu’il était à la cave, elle était partie sans rien dire. Compte tenu du contexte, force est de constater que lorsque, dans la cuisine, le prévenu lui a parlé de son besoin d’un « gros câlin », il ne pouvait échapper à la plaignante qu’il s’agissait de caresses de nature sexuelle, vu les gestes à connotation clairement sexuelle qu’il avait envers elle à ce moment-là (cf. PV aud. 9, lignes 72 ss). Elle a d’ailleurs elle- même ajouté qu’il lui « semblait plus confortable de faire cela dans le lit ».</w:t>
      </w:r>
    </w:p>
    <w:p>
      <w:r>
        <w:t>- 17 - Dans ces conditions, si, comme elle l’a invoqué par la suite, elle ne « voulai[t] rien du tout de sexuel » (PV aud. 1, ligne 142), on voit mal pourquoi elle a néanmoins suivi le prévenu à l’étage et a même accepté son aide pour la déshabiller. Face au comportement de la plaignante – et même à retenir, selon la version de celle-ci, qu’elle ait tenté de le dissuader de monter dans la chambre à coucher, lui ait ensuite dit, une fois sur le lit, qu’il lui faisait mal et ait crié –, il n’était pas possible pour le prévenu de comprendre – ni d’en déduire – qu’elle était opposée à entretenir une relation sexuelle, ce qu’elle ne lui a d’ailleurs pas dit, comme elle l’a elle- même reconnu (PV aud. 1, lignes 121 et 122). En effet, l’appelante, qui s'était rendue de sa propre volonté au domicile de l’intimé, avait spontanément décidé de rester, quand bien même celui-ci l’avait reçue en slip et en érection et manifesté ainsi immédiatement une envie de relation sexuelle, ce dont elle s’était rendue compte (jugt, p. 7). La plaignante, qui n’a jamais été enfermée sans possibilité de sortir, n’a pas manifesté de façon intelligible un refus, que ce soit alors qu'ils se déshabillaient, lors de la fellation et juste avant ou durant l'acte sexuel, sa seule réaction négative ayant eu trait à la douleur provoquée notamment par la brutalité de ses gestes. Elle n'a jamais tenté de refuser ou d’interrompre les actes. Lors de son audition du 9 novembre 2020, elle a certes affirmé qu’une fois sur le lit, elle lui avait dit « non » à plusieurs reprises, en vain, n’ayant « plus pu exprimer [s]a volonté », mais cela ne ressort pas des propos tenus dans sa plainte, où elle a indiqué lui avoir principalement dit qu’il lui faisait mal et qu’il devait être « plus doux » (P. 6, p. 6). Or, il y a lieu de privilégier ses premières déclarations (P. 6), à l’exclusion des suivantes, vu le caractère évolutif de la mémoire, la plaignante ayant elle-même reconnu, lors de son audition du 9 novembre 2020, que ses souvenirs étaient « flou[s] » (PV aud. 1, ligne 156). On ne comprend pas non plus en quoi G.________, qui, selon ses déclarations, a su s’opposer – du moins verbalement – aux gestes entreprenants du prévenu lorsqu’ils étaient en cuisine, se serait ensuite sentie en danger, la prénommée ne prétendant pas que le prévenu – qui</w:t>
      </w:r>
    </w:p>
    <w:p>
      <w:r>
        <w:t>- 18 - n’a d’ailleurs aucun antécédent de violence – aurait été violent avec elle par le passé ; au contraire, il aurait toujours été très doux. Au lieu de manifester de la résistance ou d’exprimer son opposition, elle a plutôt aidé son partenaire à la déshabiller, comme relevé ci-dessus. Elle a expliqué qu’une fois que les caresses du prévenu étaient devenues « plus pressantes », il n’entendait plus ou n’écoutait plus ce qu’elle disait, que « tout allait trop vite », qu’elle se sentait comme son « objet » et qu’elle s’était dit qu’elle était « d’accord qu’on en finisse » (PV aud. 1, lignes 144 et 145). Elle a ajouté que pendant l’acte sexuel, elle se croyait en mains d’un violeur et que lui étaient revenues en mémoire les explications d’un psychologue durant ses années de formation selon lesquelles « lorsqu’une personne est l’objet d’un violeur (…), il ne sert à rien » de se manifester, « parce que l’abuseur fera taire l’objet en frappant plus fort ou autre » (P. 6, pp. 6 et 7). Or, au vu des éléments qui précèdent, même à retenir que la plaignante ait eu le sentiment ou l’impression d’être en mains d’un violeur, l'intimé n'avait aucune raison d'en être conscient, n'ayant objectivement rien fait pour susciter ledit état. La plaignante prétend que le prévenu a fait usage de la force physique. Or, selon la nouvelle amie de celui-ci, sa peau était hypersensible en raison de ses brûlures et ils devaient faire très attention en ayant des relations sexuelles (PV aud. 7, lignes 76 à 78). La plaignante elle-même a dit que le prévenu lui avait expliqué avoir très mal et avoir pris des médicaments contre la douleur, et qu’il portait un marcel pour ce motif lorsqu’il l’avait reçue chez lui le jour des faits. Les brûlures dataient d’un mois auparavant ; elles étaient importantes (cf. P. 46) et il est vraisemblable qu’elles étaient encore très sensibles. Il est peu vraisemblable, dans ces circonstances, que le prévenu ait pu faire usage de la force physique pour imposer à la plaignante une relation sexuelle. A cela s’ajoute que la plaignante a envoyé des messages vocaux au prévenu dans l’heure qui a suivi sa fuite, pour s’expliquer, déclarant « c’est pas du tout comme ça qu’j’imaginais qu’on allait se r’trouver (sic), tu m’as quasiment sauté[e] dessus » et lui souhaitant « tout d’bon et pis bonne soirée bonne nuit, ciao » (P. 21), à quoi le prévenu a</w:t>
      </w:r>
    </w:p>
    <w:p>
      <w:r>
        <w:t>- 19 - répondu « désolé que tu le prenne[s] comme cela » (P. 20/4). On peine à voir là un échange entre une victime de viol et son agresseur. Si l’appelante s’est plainte, juste après, auprès de sa fille et de son amie [...] d’avoir été violée par le prévenu (PV aud. 3 et 4), il est possible que ce soit en réaction au comportement de ce dernier, qui, d’après ses propres termes, l’a « écœurée », tant il s’était montré immédiatement entreprenant et « brusque » (PV aud. 1, ligne 145 ; cf. ég. jugt, pp. 7 ss « J’arrive chez lui et il manifeste immédiatement une envie de relation sexuelle. C’était évident et je n’en avais pas envie, en tout cas pas dans ces conditions-là. […] Ce qui m’a dérangé c’est qu’il soit très entreprenant à peine le pas de la porte passé. […] C’était une manière très brusque et même brutale, cela n’a rien à voir avec la douceur qu’il a eue avant. »). Par ailleurs, si le constat médical du 2 décembre 2021 (P. 55) se réfère aux « évènements de viol et d’abus sexuel survenu[s] le 31 décembre 2019 », c’est uniquement sur la base des faits rapportés par la plaignante elle-même, de sorte que ce document n’est pas pertinent, sauf à confirmer que le comportement entreprenant du prévenu, tel que décrit ci-avant, a pu provoquer chez l’appelante « une importante insécurité » et « une perte de confiance dans les relations masculines ». Enfin, comme relevé plus haut, le prévenu n’a pas d’antécédents de violence. A 56 ans, on peut considérer que c’est significatif. Sa nouvelle compagne ne le décrit pas comme une brute. Il est par ailleurs difficile de tirer quoi que ce soit des auditions du prévenu, dès lors qu’il a été entendu pour la première fois plus d’un an après les faits. Contrairement à ce qui a été plaidé par le conseil de l’appelante aux débats d’appel, on ne saurait rien tirer non plus du fait que le prévenu aurait effacé un courriel que celle-ci lui aurait envoyé au mois de janvier 2020 et auquel il s’est référé en cours d’enquête (P. 26 ; PV aud. 5, lignes 47 ss), l’appelante ayant quoi qu’il en soit contesté l’échange de courriels entre les parties à la suite des faits litigieux (P. 45/1). En définitive, ni l'élément constitutif objectif de la contrainte, ni celui, subjectif, de l'intention ne sont établis de sorte que l’acquittement de l’intimé doit être confirmé. Il n’est en effet pas établi au-delà de tout</w:t>
      </w:r>
    </w:p>
    <w:p>
      <w:r>
        <w:t>- 20 - doute raisonnable que celui-ci a délibérément imposé des actes sexuels à la plaignante. Quant aux injures alléguées, il n’est pas attesté qu’elles aient été proférées, et l’intimé le conteste. A supposer qu’elles aient été dites, elles l’auraient alors été dans le cadre de pratiques « sado- masochistes » qui plaisent au prévenu, sans intention attentatoire à l’honneur. Cela scelle le sort des conclusions de l’appel. 4. En conclusion, l’appel doit être rejeté et le jugement attaqué intégralement confirmé. Sur la base de la liste des opérations produite par le conseil d’office de G.________, faisant état d’une activité de 8,83 heures et dont il n’y a pas lieu de s’écarter, sous réserve du temps d’audience qui a été comptabilisé à hauteur de 3 heures et qui doit être réduit de 2 heures (l’audience ayant duré 1 heure), le montant des honoraires s'élève à 1'229 fr. 40 (6,83 x 180), auxquels s'ajoutent des débours forfaitaires à concurrence de 2 %, et non de 5 % comme indiqué sur la liste d’opérations (art. 3bis al. 1 RAJ [règlement du 7 décembre 2010 sur l'assistance judiciaire en matière civile; BLV 211.02.3], applicable par renvoi de l’art. 26b TFIP [tarif des frais de procédure et indemnités en matière pénale du 28 septembre 2010 ; RSV 312.03.1]), par 24 fr. 60, une vacation par 360 fr. et la TVA au taux de 7,7 % sur le tout par 124 fr. 30, de sorte que c'est une indemnité totale de 1'738 fr. 30 qui sera allouée à Me Mathias Eusebio. Le défenseur d’office de Z.________ a également produit une liste d'opérations faisant état d’une activité de 6h50, dont 10 minutes au tarif horaire d’avocat-stagiaire, ce qui peut être admis. Ainsi, le montant des honoraires s'élève à 1'218 fr. 35 ([6h40 x 180] + [0h10 x 110]), auxquels s'ajoutent des débours forfaitaires de 2 % par 24 fr. 35, une vacation de 120 fr. et la TVA au taux de 7,7 % sur le tout par 104 fr. 90, de sorte que c'est une indemnité totale de 1'467 fr. 65 qui sera allouée à Me Habib Tabet.</w:t>
      </w:r>
    </w:p>
    <w:p>
      <w:r>
        <w:t>- 21 - Les frais de la procédure d'appel, par 5'145 fr. 95, constitués en l’espèce de l’émolument de jugement, par 1'940 fr., (art. 21 al. 1 et 2 TFIP) ainsi que des indemnités allouées aux défenseur et conseil d'office des parties,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