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PE20.001601 vom 3. September 2020</w:t>
      </w:r>
    </w:p>
    <w:p>
      <w:r>
        <w:t>VD Tribunal cantonal, 2020-09-03, FR</w:t>
      </w:r>
    </w:p>
    <w:p>
      <w:r>
        <w:rPr>
          <w:b/>
        </w:rPr>
        <w:t xml:space="preserve">Quelle: </w:t>
      </w:r>
      <w:r>
        <w:t>https://mcp.opencaselaw.ch/entscheid/vd_gerichte_PE20.001601</w:t>
      </w:r>
    </w:p>
    <w:p>
      <w:r>
        <w:t>FR: VD_GERICHTE PE20.001601 du 3 septembre 2020</w:t>
      </w:r>
    </w:p>
    <w:p>
      <w:r>
        <w:t>IT: VD_GERICHTE PE20.001601 del 3 settembre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 doit être rejeté et l’ordonnance entreprise confirmée. Les frais d'arrêt, par 660 fr. (art. 422 al. 1 CPP et 20 al. 1 TFIP [tarif des frais de procédure et indemnités en matière pénale du 28 septembre 2010 ; BLV 312.03.1]), seront mis à la charge de la recourante, qui succombe (art. 428 al. 1 CPP), Par ces motifs, la Chambre des recours pénale prononce : I. Le recours est rejeté. II. L’ordonnance du 4 août 2020 est confirmée. III. Les frais d’arrêt, par 660 fr. (six cent soixante francs), sont mis à la charge de J.________. IV. L’arrêt est exécutoire. Le président : La greffière : Du Le présent arrêt, dont la rédaction a été approuvée à huis clos, est notifié, par l'envoi d'une copie complète, à : - Me Emmanuel Hoffmann, avocat (pour J.________), - Me Carole van de Sandt, avocate (pour R.________), - Ministère public central, et communiqué à : - M. le Procureur de l’arrondissement de La Côte, - Service de la population, par l’envoi de photocopies.</w:t>
      </w:r>
    </w:p>
    <w:p>
      <w:r>
        <w:t>- 7 -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