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PE20.001189 vom 26. Februar 2020</w:t>
      </w:r>
    </w:p>
    <w:p>
      <w:r>
        <w:t>VD Tribunal cantonal, 2020-02-26, FR</w:t>
      </w:r>
    </w:p>
    <w:p>
      <w:r>
        <w:rPr>
          <w:b/>
        </w:rPr>
        <w:t xml:space="preserve">Quelle: </w:t>
      </w:r>
      <w:r>
        <w:t>https://mcp.opencaselaw.ch/entscheid/vd_gerichte_PE20.001189</w:t>
      </w:r>
    </w:p>
    <w:p>
      <w:r>
        <w:t>FR: VD_GERICHTE PE20.001189 du 26 février 2020</w:t>
      </w:r>
    </w:p>
    <w:p>
      <w:r>
        <w:t>IT: VD_GERICHTE PE20.001189 del 26 febbraio 2020</w:t>
      </w:r>
    </w:p>
    <w:p>
      <w:pPr>
        <w:pStyle w:val="Heading2"/>
      </w:pPr>
      <w:r>
        <w:t>Erwägungen</w:t>
      </w:r>
    </w:p>
    <w:p>
      <w:r>
        <w:rPr>
          <w:b/>
        </w:rPr>
        <w:t>E. 1</w:t>
      </w:r>
    </w:p>
    <w:p>
      <w:r>
        <w:t>Interjeté dans le délai légal (art. 396 al. 1 CPP [Code de procédure pénale suisse du 5 octobre 2007 ; RS 312.0]), contre une décision du ministère public (art. 393 al. 1 let. a CPP), par le prévenu qui a qualité pour recourir (art. 382 al. 1 CPP) et dans les formes prescrites (art. 385 al. 1 CPP), le recours est recevable.</w:t>
      </w:r>
    </w:p>
    <w:p>
      <w:r>
        <w:rPr>
          <w:b/>
        </w:rPr>
        <w:t>E. 2.1</w:t>
      </w:r>
    </w:p>
    <w:p>
      <w:r>
        <w:t>Le recourant soutient que l'argent séquestré ne proviendrait en aucun cas d'un trafic de stupéfiants, mais d'un cadeau en espèces de 1'650 fr. reçu de sa famille à l'occasion de son anniversaire le 15 janvier 2020. Il précise que son recours, qui serait cosigné par son père [...], attesterait de la véracité de ses dires.</w:t>
      </w:r>
    </w:p>
    <w:p>
      <w:r>
        <w:rPr>
          <w:b/>
        </w:rPr>
        <w:t>E. 2.2.1</w:t>
      </w:r>
    </w:p>
    <w:p>
      <w:r>
        <w:t>Aux termes de l'art. 263 al. 1 let. d CPP, des objets et des valeurs patrimoniales appartenant au prévenu ou à des tiers peuvent être mis sous séquestre lorsqu'il est probable qu'ils devront être confisqués.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Commentaire romand, Code de procédure pénale suisse, 2e éd., Bâle 2019 n. 22 ad art. 263 CPP). Il faut également pouvoir établir un lien de connexité entre l’objet</w:t>
      </w:r>
    </w:p>
    <w:p>
      <w:r>
        <w:t>- 4 - séquestré et l’infraction poursuivie.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références).</w:t>
      </w:r>
    </w:p>
    <w:p>
      <w:r>
        <w:rPr>
          <w:b/>
        </w:rPr>
        <w:t>E. 2.2.2</w:t>
      </w:r>
    </w:p>
    <w:p>
      <w:r>
        <w:t>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subsister (ATF 139 IV 250 consid. 2.1 ; ATF 137 IV 145 consid. 6.4 et les références).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w:t>
      </w:r>
    </w:p>
    <w:p>
      <w:r>
        <w:rPr>
          <w:b/>
        </w:rPr>
        <w:t>E. 2.3</w:t>
      </w:r>
    </w:p>
    <w:p>
      <w:r>
        <w:t>En l'espèce, le recourant a admis qu'il était le propriétaire des 272,7 g de cannabis, de la moulinette et de la balance découverts dans la voiture qu'il conduisait lorsqu'il a été contrôlé. Il a également admis qu'il</w:t>
      </w:r>
    </w:p>
    <w:p>
      <w:r>
        <w:t>- 5 - achetait, consommait et revendait cette drogue. Il a même expliqué que c'était lui qui avait conditionné le cannabis pour la revente, en allant acheter des sachets mini-grip à la Migros après le travail (PV aud. 1, R. 6). A ce stade de l'enquête, ces éléments sont suffisants pour fonder les soupçons d'une provenance illicite de l'argent trouvé en possession du recourant, respectivement pour considérer que la somme séquestrée est le produit du commerce de cannabis du recourant. L'argument du recourant selon lequel il aurait reçu en espèces la somme de 1'650 fr. à l'occasion de son anniversaire le 15 janvier 2020 apparaît en l'état peu crédible. D'une part, il n'a fourni aucune explication sur la raison pour laquelle il aurait gardé une telle somme sur lui jusqu'au mardi soir 21 janvier 2020. D'autre part, le fait que le recours soit cosigné par le père du recourant – ce qui attesterait, selon ce dernier, le fait qu'il aurait reçu 1'650 fr. en espèces à l'occasion de son anniversaire – n'a aucune force probante, puisque l'on ignore si cette personne est réellement le père du recourant, la signature n'ayant pas été authentifiée ou légalisée. En outre, la valeur probante d'un membre de la famille du recourant serait de toute manière assez faible, surtout à ce stade. Ce grief doit donc être rejeté. Enfin, l'explication du recourant tendant à justifier la différence entre la somme reçue pour son anniversaire (au moins 1'500 fr.) et celle trouvée en sa possession (2'265 fr. et 100 euros), apparaît tout aussi peu convaincante (PV aud. 1, R. 9). Le recourant affirme que son amie a réglé la facture de la soirée au MAD du 18 janvier 2020 avec sa carte de crédit (850 fr.), mais il précise que certaines personnes présentes leur ont remboursé leur part à ce moment-là avec des billets de 50 fr. et 100 francs. On peut donc en déduire que la soirée n'était pas offerte et que c'est à la compagne du recourant que ces personnes ont versé leur dû à la fin de la soirée. Cela ne justifie ainsi pas la somme supplémentaire trouvée dans le porte-monnaie du recourant.</w:t>
      </w:r>
    </w:p>
    <w:p>
      <w:r>
        <w:t>- 6 - Vu les éléments qui précèdent, c'est à bon droit que le Ministère public a ordonné le séquestre de la somme de 2'366 fr. 25, dès lors qu'il apparaît vraisemblable que celle-ci puisse être confisquée.</w:t>
      </w:r>
    </w:p>
    <w:p>
      <w:r>
        <w:rPr>
          <w:b/>
        </w:rPr>
        <w:t>E. 3</w:t>
      </w:r>
    </w:p>
    <w:p>
      <w:r>
        <w:t>Il s'ensuit que le recours, manifestement mal fondé, doit être rejeté sans échange d’écritures (art. 390 al. 2 CPP) et l’ordonnance entreprise confirmée. Les frais d'arrêt, par 660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II. L'ordonnance du 3 février 2020 est confirmée. III. Les frais d'arrêt,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w:t>
      </w:r>
    </w:p>
    <w:p>
      <w:r>
        <w:t>- 7 -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