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PE20.000973 vom 6. Februar 2020</w:t>
      </w:r>
    </w:p>
    <w:p>
      <w:r>
        <w:t>VD Tribunal cantonal, 2020-02-06, FR</w:t>
      </w:r>
    </w:p>
    <w:p>
      <w:r>
        <w:rPr>
          <w:b/>
        </w:rPr>
        <w:t xml:space="preserve">Quelle: </w:t>
      </w:r>
      <w:r>
        <w:t>https://mcp.opencaselaw.ch/entscheid/vd_gerichte_PE20.000973</w:t>
      </w:r>
    </w:p>
    <w:p>
      <w:r>
        <w:t>FR: VD_GERICHTE PE20.000973 du 6 février 2020</w:t>
      </w:r>
    </w:p>
    <w:p>
      <w:r>
        <w:t>IT: VD_GERICHTE PE20.000973 del 6 febbraio 2020</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w:t>
      </w:r>
    </w:p>
    <w:p>
      <w:r>
        <w:t>- 4 - personnes ou en altérant des moyens de preuve ou (c) qu’il compromette sérieusement la sécurité d’autrui par des crimes ou des délits graves après avoir déjà commis des infractions du même genre.</w:t>
      </w:r>
    </w:p>
    <w:p>
      <w:r>
        <w:rPr>
          <w:b/>
        </w:rPr>
        <w:t>E. 3</w:t>
      </w:r>
    </w:p>
    <w:p>
      <w:r>
        <w:t>Le recourant ne conteste pas, à juste titre, l'existence de forts soupçons de culpabilité à son encontre. En effet, il a reconnu qu'il avait agressé sa victime avec un cutter (P. 4, p. 6 ; PV aud. police, R. 6, p. 4 ; PV aud. arrestation, p. 2).</w:t>
      </w:r>
    </w:p>
    <w:p>
      <w:r>
        <w:rPr>
          <w:b/>
        </w:rPr>
        <w:t>E. 4.1</w:t>
      </w:r>
    </w:p>
    <w:p>
      <w:r>
        <w:t>Le recourant conteste le risque de collusion. Il soutient qu'il peut louer une chambre d'hôtel ailleurs qu'à Avenches, à Montreux par exemple, et que le fait de ne pas pouvoir continuer à exploiter son magasin « Ecommerce » lui sera préjudiciable. Le recourant indique en outre qu'il fait une grève de la faim depuis son arrestation et que cela prouverait qu'il ne risque pas de récidiver.</w:t>
      </w:r>
    </w:p>
    <w:p>
      <w:r>
        <w:rPr>
          <w:b/>
        </w:rPr>
        <w:t>E. 4.2</w:t>
      </w:r>
    </w:p>
    <w:p>
      <w:r>
        <w:t>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En l'espèce, le recourant a admis au cours de ses différentes auditions qu'il avait donné au moins un coup de couteau à sa victime, dont les blessures ont été constatées par un médecin de l'Hôpital intercantonal de la Broye, à Payerne. Z.________, bien que non encore auditionné par la Procureure au moment où la décision litigieuse a été rendue, a déjà décrit l'événement à la police de manière détaillée et circonstanciée. Il n'existe donc pas de risque que le prévenu tente de prendre contact avec le plaignant afin d'empêcher la constatation exacte et complète des faits. Le risque de collusion doit par conséquent être écarté.</w:t>
      </w:r>
    </w:p>
    <w:p>
      <w:r>
        <w:t>- 5 -</w:t>
      </w:r>
    </w:p>
    <w:p>
      <w:r>
        <w:rPr>
          <w:b/>
        </w:rPr>
        <w:t>E. 4.3.1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de la dangerosité présentée concrètement par le prévenu, respectivement de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w:t>
      </w:r>
    </w:p>
    <w:p>
      <w:r>
        <w:t>- 6 -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w:t>
      </w:r>
    </w:p>
    <w:p>
      <w:r>
        <w:rPr>
          <w:b/>
        </w:rPr>
        <w:t>E. 4.3.2</w:t>
      </w:r>
    </w:p>
    <w:p>
      <w:r>
        <w:t>En l'espèce, les faits reprochés au recourant sont graves puisqu'il a porté atteinte à l'intégrité physique d'une personne en lui portant des coups de cutter au visage pour le seul motif que celle-ci faisait trop de bruit un soir à 20h50. En outre, il ressort de ses antécédents judiciaires que le recourant a déjà commis des actes de violence inquiétants, avec totale perte de maîtrise de soi : dans des bureaux, il a brisé au moyen d'une barre de fer cinq fenêtres et du matériel informatique, et, dans un hôpital, il a arraché une porte-fenêtre, a lancé une imprimante contre une paroi vitrée et a mis à sac une pièce en détruisant tout ce qui était à portée de main (cf. ordonnance pénale du 10 octobre 2012). Il a également été condamné pour violence ou menace contre les autorités ou les fonctionnaires. Le comportement violent du recourant s'est même aggravé puisque, comme relevé par la Procureure, l'agression au cutter du 18 janvier 2020 aurait pu avoir une issue fatale. Il est donc fortement à craindre que, s'il était libéré, le recourant s'en prenne à nouveau physiquement à toute personne qui adopterait une attitude contraire à ses attentes. Ces éléments suffisent pour retenir que le risque de récidive est réalisé. Pour le surplus, tout ce que le recourant démontre en faisant une grève de la faim est qu'il n'a aucune intention d'assumer les conséquences de ses actes – contrairement à ce qu'il prétend – et que le risque de fuite, également retenu (cf. infra, consid. 5), s'en trouve accentué.</w:t>
      </w:r>
    </w:p>
    <w:p>
      <w:r>
        <w:rPr>
          <w:b/>
        </w:rPr>
        <w:t>E. 5.1</w:t>
      </w:r>
    </w:p>
    <w:p>
      <w:r>
        <w:t>Selon la jurisprudence, le risque de fuite au sens de l'art. 221 al. 1 let. a CPP doit s'analyser en fonction d'un ensemble de critères tels que le caractère de l'intéressé, sa moralité, ses ressources, ses liens avec</w:t>
      </w:r>
    </w:p>
    <w:p>
      <w:r>
        <w:t>- 7 -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w:t>
      </w:r>
    </w:p>
    <w:p>
      <w:r>
        <w:rPr>
          <w:b/>
        </w:rPr>
        <w:t>E. 5.2</w:t>
      </w:r>
    </w:p>
    <w:p>
      <w:r>
        <w:t>En l'espèce, le recourant indique qu'il n'a qu'une sœur domiciliée dans le canton de Genève et que ses deux parents sont décédés (déterminations du 22 janvier 2020). Il n'a pas d'enfants ni de relation sentimentale (PV police, p. 4). Il n'a donc aucune attache familiale et personnelle suffisante qui le retiendrait en Suisse. En outre, le recourant est informaticien indépendant et vend des produits par l'intermédiaire d'un site Internet, de sorte qu'il n'aurait aucun mal à exercer cette même activité depuis un autre pays que la Suisse. Exposé à une peine d'une certaine importance au vu des actes graves qui lui sont reprochés, le risque que le recourant tente d’échapper à la sanction pénale en quittant la Suisse est par conséquent très probable. Le risque de fuite doit ainsi également être retenu, que la volonté affichée de poursuivre une activité professionnelle ou d'envisager de se loger à un autre endroit ne permet pas de pallier.</w:t>
      </w:r>
    </w:p>
    <w:p>
      <w:r>
        <w:rPr>
          <w:b/>
        </w:rPr>
        <w:t>E. 6</w:t>
      </w:r>
    </w:p>
    <w:p>
      <w:r>
        <w:t>Il résulte de ce qui précède que le recours, manifestement mal fondé, doit être rejeté sans échange d'écritures (art. 390 al. 2 CPP) et l'ordonnance entreprise confirmée. Les frais de la procédure de recours, par 770 fr. (art. 20 al. 1 TFIP [Tarif des frais de procédure et indemnités en matière pénale du 28 septembre 2010 ; BLV 312.03.1]), sont mis à la charge du recourant, qui succombe (art. 428 al. 1 CPP).</w:t>
      </w:r>
    </w:p>
    <w:p>
      <w:r>
        <w:t>- 8 - Par ces motifs, la Chambre des recours pénale prononce : I. Le recours est rejeté. II. L'ordonnance du 22 janvier 2020 est confirmée. III. Les frais d'arrêt, par 770 fr. (sept cent septante francs), sont mis à la charge de X.________. IV. L’arrêt est exécutoire. Le président : La greffière : Du Le présent arrêt, dont la rédaction a été approuvée à huis clos, est notifié, par l'envoi d'une copie complète, à : - Me Claire Neville, avocate (pour X.________), - Ministère public central,</w:t>
      </w:r>
    </w:p>
    <w:p>
      <w:r>
        <w:t>- 9 - et communiqué à : - Mme la Présidente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