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PE20.000657 vom 13. Mai 2020</w:t>
      </w:r>
    </w:p>
    <w:p>
      <w:r>
        <w:t>VD Tribunal cantonal, 2020-05-13, FR</w:t>
      </w:r>
    </w:p>
    <w:p>
      <w:r>
        <w:rPr>
          <w:b/>
        </w:rPr>
        <w:t xml:space="preserve">Quelle: </w:t>
      </w:r>
      <w:r>
        <w:t>https://mcp.opencaselaw.ch/entscheid/vd_gerichte_PE20.000657</w:t>
      </w:r>
    </w:p>
    <w:p>
      <w:r>
        <w:t>FR: VD_GERICHTE PE20.000657 du 13 mai 2020</w:t>
      </w:r>
    </w:p>
    <w:p>
      <w:r>
        <w:t>IT: VD_GERICHTE PE20.000657 del 13 maggio 2020</w:t>
      </w:r>
    </w:p>
    <w:p>
      <w:pPr>
        <w:pStyle w:val="Heading2"/>
      </w:pPr>
      <w:r>
        <w:t>Erwägungen</w:t>
      </w:r>
    </w:p>
    <w:p>
      <w:r>
        <w:rPr>
          <w:b/>
        </w:rPr>
        <w:t>E. 3</w:t>
      </w:r>
    </w:p>
    <w:p>
      <w:r>
        <w:t>Recours d’I.________ en liquidation</w:t>
      </w:r>
    </w:p>
    <w:p>
      <w:r>
        <w:rPr>
          <w:b/>
        </w:rPr>
        <w:t>E. 3.1</w:t>
      </w:r>
    </w:p>
    <w:p>
      <w:r>
        <w:t>La recourante I.________ conteste le refus du Ministère public d’entrer en matière sur les faits objets de sa plainte pénale.</w:t>
      </w:r>
    </w:p>
    <w:p>
      <w:r>
        <w:rPr>
          <w:b/>
        </w:rPr>
        <w:t>E. 3.2.1</w:t>
      </w:r>
    </w:p>
    <w:p>
      <w:r>
        <w:t>Conformément à l'art. 310 al. 1 let. a CPP, le ministère public rend immédiatement – c'est-à-dire sans qu'une instruction soit ouverte (art. 309 al. 1 et 4 CPP ; TF 1B_111/2012 du 5 avril 2012 consid. 2.1 ; Grodecki/Cornu, in : Jeanneret/Kuhn/Perrier Depeursinge [éd.], Code de procédure pénale suisse, Commentaire romand, 2e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 TF 1B_709/2012 du 21 février 2013 consid. 3.1).</w:t>
      </w:r>
    </w:p>
    <w:p>
      <w:r>
        <w:t>- 14 -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Dans cette mesure, le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s’applique sous l’angle de l’art. 310 CPP (Grodecki/Cornu, op. cit., n. 10b ad art. 310 CPP).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(TF 6B_415/2018 du 20 septembre 2018 consid. 2.1.2 ; ATF 101 IV 42 consid. 3a), la menace est un moyen de pression psychologique consistant à annoncer un dommage futur dont la réalisation est présentée comme dépendante de la volonté de l'auteur, sans toutefois qu'il soit nécessaire que cette dépendance soit effective (TF 6B_415/2018 précité</w:t>
      </w:r>
    </w:p>
    <w:p>
      <w:r>
        <w:t>- 15 - consid. 2.1.2 ; ATF 117 IV 445 consid. 2b ; ATF 106 IV 125 consid. 2a) ni que l'auteur ait réellement la volonté de réaliser sa menace (TF 6B_415/2018 précité consid. 2.1.2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6B_415/2018 précité consid. 2.1.2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 ATF 141 IV 437 consid. 3.2.1 ; ATF 137 IV 326 consid. 3.3.1). Selon la jurisprudence, la contrainte n'est contraire au droit que si elle est illicite (ATF 120 IV 17 consid. 2a et les arrêts cités ; TF 6B_415/2018 précité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 TF 6B_415/2018 du 20 septembre 2018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w:t>
      </w:r>
    </w:p>
    <w:p>
      <w:r>
        <w:t>- 16 - lorsque l'objet de la plainte pénale est sans rapport avec la prestation demandée ou si la menace doit permettre d'obtenir un avantage indu (TF 6B_415/2018 précité consid. 2.1.3 et les arrêts cités). Sur le plan subjectif, il faut que l'auteur ait agi intentionnellement, c'est-à-dire qu'il ait voulu contraindre la victime à adopter le comportement visé en étant conscient de l'illicéité de son comportement ; le dol éventuel suffit (ATF 120 IV 17 consid. 2c ; TF 6B_415/2018 précité consid. 2.1.3).</w:t>
      </w:r>
    </w:p>
    <w:p>
      <w:r>
        <w:rPr>
          <w:b/>
        </w:rPr>
        <w:t>E. 3.2.3</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(Dupuis et al., Petit Commentaire, Code pénal, 2e éd., Bâle 2017, nn. 1 ad art. 156 CP). La notion de contrainte est la même que celle figurant à l’art. 181 CP (TF 6B_47/2010 du 30 mars 2010 consid. 2.2). La contrainte est absorbée par l’extorsion et le chantage prévu à l'art. 156 CP (Dupuis et al., op. cit., nn. 33-34 ad art. 156 CP et n. 43 ad art. 181 CP).</w:t>
      </w:r>
    </w:p>
    <w:p>
      <w:r>
        <w:rPr>
          <w:b/>
        </w:rPr>
        <w:t>E. 3.2.4</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3.3</w:t>
      </w:r>
    </w:p>
    <w:p>
      <w:r>
        <w:t>Dans un premier moyen, la recourante invoque un déni de justice formel, au motif que le procureur n'aurait pas examiné si les faits décrits pouvaient également tomber sous le coup de l'instigation à faux témoignage ou de tentative d'entrave à l'action pénale, alors que ce sont</w:t>
      </w:r>
    </w:p>
    <w:p>
      <w:r>
        <w:t>- 17 - des infractions poursuivies d'office et que la plainte du 11 octobre 2019 mentionnait « ainsi que toute autre infraction que l'enquête permettra de déterminer ». La recourante a déposé plainte pour tentative d'extorsion et tentative de contrainte. En ne mentionnant expressément aucune autre infraction si ce n'est la phrase type relevée ci-dessus, la recourante ne peut s'en prendre qu'à elle-même si les infractions qu'elle mentionne maintenant dans son recours n'ont pas fait l'objet d'une décision expresse. Ensuite, il n'est pas soutenable d'imposer à un procureur, en présence d'une phrase du type « toute autre infraction que l'enquête permettra de déterminer » de lui imposer de statuer sur toutes les infractions du Code pénal et des lois pénales pour motiver et confirmer qu'elles ne sont pas réalisées. Enfin, le procureur a en réalité statué sur les infractions mentionnées dans la plainte de la recourante puisque le chiffre II du dispositif dit que le Ministère public n'entre pas en matière « sur les faits décrits dans la plainte pénale du 11 octobre 2019 ». Le moyen est donc infondé.</w:t>
      </w:r>
    </w:p>
    <w:p>
      <w:r>
        <w:rPr>
          <w:b/>
        </w:rPr>
        <w:t>E. 3.4</w:t>
      </w:r>
    </w:p>
    <w:p>
      <w:r>
        <w:t>Dans un deuxième moyen, la recourante invoque un déni de justice matériel et une constatation incomplète et erronée des faits. La recourante critique d'abord la rédaction du procureur, qui laisserait à penser que le prévenu H.________ serait « le bon » et la plaignante I.________ « la méchante », soit la manipulatrice. Les considérations de la recourante n'appartiennent qu'à elle et, contrairement à ce qu'elle soutient, ne relèvent pas de l'arbitraire au sens de l'art. 393 al. 2 CPP. Certains termes utilisés par le procureur manquent peut-être de pondération et la description du contexte pourrait ne pas plaire à la recourante, mais peu importe, puisque, d'une part, il ne s'agit que d'une description succincte de multiples procédures complexes et, d'autre part, le recours ne peut pas porter sur les motifs, mais uniquement sur le dispositif (Moreillon/Parein-Reymond, CPP, 2e éd., n. 9 ad art. 383 CPP).</w:t>
      </w:r>
    </w:p>
    <w:p>
      <w:r>
        <w:t>- 18 - Ensuite, l'affirmation de la recourante selon laquelle le prévenu H.________ aurait tenté de monnayer son témoignage en suggérant que, faute de paiement de l'indemnité demandée, il pourrait apporter des éléments aux autorités pénales qu'il cacherait dans le cas contraire est une extrapolation du courrier litigieux. Quand bien même ce courrier est maladroit tant dans la forme que sur le fond, il n'en reste pas moins que, pour retenir une tentative d'extorsion ou de contrainte, il faudrait encore que des faits précis aient été annoncés. Or, tant du côté de la proposition du prévenu du 19 août 2019 que du côté des allégations de la recourante, on n'y trouve que des généralités, notamment : « […] mon client restera définitivement silencieux sur tous les aspects de son engagement auprès d'I.________ et des fonds gérés par le groupe I.________ […] ». On peut certes supposer que cette proposition visait à ne pas trop en dire aux autorités civiles, voire pénales, mais, comme le procureur l'a relevé, si le prévenu est questionné sur des faits précis, il ne pourra pas se soustraire aux réponses à donner, et encore moins mentir, faute de quoi cela ouvrirait la porte à un faux témoignage. Pour déterminer si tel était le cas, encore faut-il que l'interrogatoire de la justice porte sur des faits qu'elle veut instruire. Ne rien dire sur quelque chose que la justice ignore peut difficilement avoir une conséquence pour l'intéressé. Quant aux procédures civiles, elles interdisent au prévenu, à titre provisoire, de s'exprimer, ce qui rend sa situation inconfortable et pouvait justifier une proposition d'arrangement sous cet angle. La recourante conteste également ne pas avoir subi de dommage en lien avec le courrier et relève qu'elle est impliquée dans diverses procédures dans lesquelles elle collabore. Ainsi, la déposition du prévenu pourrait avoir une influence préjudiciable dans certains procès, ce qui devrait être reconnu. Le procureur a pour sa part considéré qu'il n'y avait pas de dommage à voir un ex-employé témoigner devant la justice pénale. Mais encore une fois, H.________ a indiqué qu'il proposait de garder le silence sur certains faits, peut-être devant les autorités civiles et peut- être devant les autorités pénales, mais cela ne change rien au fait que, interrogé en qualité de témoin, il devrait répondre et dire la vérité, au</w:t>
      </w:r>
    </w:p>
    <w:p>
      <w:r>
        <w:t>- 19 - risque de se voir lui-même en mauvaise posture, d'autant plus s'il avait obtenu le montant de plus de 2 millions qu'il demandait. Pour le surplus, l’argumentaire développé par le procureur est adéquat et justifié. En particulier, les conséquences pratiques qui pourraient découler de la publicité des auditions dans la procédure pénale portugaise ne sauraient être qualifiées de dommage, tout comme les éventuelles prétentions que pourraient élever des tiers ensuite de potentielles publications dans la presse au sujet d’I.________. Partant, comme le procureur, on ne voit pas en quoi le fait que H.________ ait suggéré qu’il puisse témoigner devant le MPC et les autorités portugaises représenterait une menace d’un dommage sérieux. Partant, les éléments constitutifs des infractions ne paraissent manifestement pas réunis, de sorte qu'une enquête ne pourrait manifestement pas aboutir à une condamnation, alors que toutes les hypothèses de la recourante reposent sur des suppositions. Le principe in dubio pro duriore n’a donc pas été violé.</w:t>
      </w:r>
    </w:p>
    <w:p>
      <w:r>
        <w:rPr>
          <w:b/>
        </w:rPr>
        <w:t>E. 3.5</w:t>
      </w:r>
    </w:p>
    <w:p>
      <w:r>
        <w:t>La recourante plaide encore l'inopportunité de la décision au motif qu'elle a dû obtenir, au vu des réserves d'usage formulées sur le courrier litigieux, non seulement l'autorisation du Bâtonnier de l'Ordre des avocats vaudois, mais aussi la levée du secret professionnel de la « Chambre administrative » [recte : Cour administrative] du Tribunal cantonal, ce qui démontrerait que la plainte serait bien fondée. Les décisions de ces personnes et instances ne lient ni le procureur, ni la Chambre de céans et ne peuvent donc avoir une incidence sur la suite à donner à la plainte pénale. Le moyen est infondé.</w:t>
      </w:r>
    </w:p>
    <w:p>
      <w:r>
        <w:rPr>
          <w:b/>
        </w:rPr>
        <w:t>E. 3.6</w:t>
      </w:r>
    </w:p>
    <w:p>
      <w:r>
        <w:t>Dans un dernier moyen, la recourante allègue que le procureur semble ne pas vouloir instruire tout ce qui a trait à cette affaire complexe, dont certains faits se sont déroulés à l'étranger, d'abord en ayant essayé de transmettre en vain une précédente enquête au Ministère public de la Confédération, ensuite en mettant plusieurs mois à rendre certaines décisions.</w:t>
      </w:r>
    </w:p>
    <w:p>
      <w:r>
        <w:t>- 20 - Le Ministère public, en tant que direction de la procédure, est responsable de l'action publique et il lui incombe de conduire la procédure préliminaire (art. 16 et 61 let. a CPP). Il dispose donc de la compétence de choisir la manière dont il veut mener ses opérations d'enquête. Si les parties le contestent, elles disposent pour cela de voies de droit, notamment le recours pour déni de justice. A nouveau, les moyens de la recourante ne reposent que sur ses propres allégations et on ne voit pas en quoi celles-ci sont susceptibles de remettre en question le raisonnement du Ministère public. En définitive, c’est à bon droit que le Ministère public a refusé d’entrer en matière sur la plainte d’I.________ en liquidation.</w:t>
      </w:r>
    </w:p>
    <w:p>
      <w:r>
        <w:rPr>
          <w:b/>
        </w:rPr>
        <w:t>E. 4</w:t>
      </w:r>
    </w:p>
    <w:p>
      <w:r>
        <w:t>Au vu de ce qui précède, les recours déposés par D.________, Q.________ et I.________ en liquidation, doivent être rejetés sans échange d'écritures (art. 390 al. 2 CPP) et l’ordonnance du 5 mars 2020 confirmée. Les frais de la procédure de recours, constitués en l'espèce du seul émolument d'arrêt (art. 422 al. 1 CPP), par 2’090 fr. (art. 20 al. 1 TFIP [Tarif des frais de procédure et indemnités en matière pénale du 28 septembre 2010 ; BLV 312.03.1]), sont mis à la charge des recourants, qui succombent (art. 428 al. 1 CPP). Ils seront répartis par moitié à la charge d’I.________ en liquidation, soit par 1’045 fr., par un quart à la charge d’D.________, soit par 522 fr. 50, et par un quart à la charge de Q.________, soit par 522 fr. 50.</w:t>
      </w:r>
    </w:p>
    <w:p>
      <w:r>
        <w:t>- 21 - Par ces motifs, la Chambre des recours pénale prononce : I. Les recours d’D.________, Q.________ et I.________ en liquidation sont rejetés. II. L’ordonnance du 5 mars 2020 est confirmée. III. Les frais d’arrêt, par 2’090 fr. (deux mille nonante francs), sont mis à la charge d’I.________ en liquidation par moitié, soit par 1’045 fr. (mille quarante-cinq francs), de Q.________ par un quart, soit par 522 fr. 50 (cinq cent vingt-deux francs et cinquante centimes), et d’D.________ par un quart, soit par 522 fr. 50 (cinq cent vingt-deux francs et cinquante centimes). IV. L’arrêt est exécutoire. Le président : La greffière : Du Le présent arrêt, dont la rédaction a été approuvée à huis clos, est notifié, par l'envoi d'une copie complète, à : - Me Thierry Amy, avocat (pour I.________, en liquidation), - Me Stefan Disch, avocat (pour D.________), - Me Elie Elkaim, avocat (pour Q.________), - Ministère public central, et communiqué à : - M. le Procureur général adjoint, par l’envoi de photocopies. Le présent arrêt peut faire l'objet d'un recours en matière pénale devant le Tribunal fédéral au sens des art. 78 ss LTF (loi sur le Tribunal fédéral du 17 juin 2005 ; RS 173.110). Ce recours doit être</w:t>
      </w:r>
    </w:p>
    <w:p>
      <w:r>
        <w:t>- 22 -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