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PE20.000425 vom 9. April 2020</w:t>
      </w:r>
    </w:p>
    <w:p>
      <w:r>
        <w:t>VD Tribunal cantonal, 2020-04-09, FR</w:t>
      </w:r>
    </w:p>
    <w:p>
      <w:r>
        <w:rPr>
          <w:b/>
        </w:rPr>
        <w:t xml:space="preserve">Quelle: </w:t>
      </w:r>
      <w:r>
        <w:t>https://mcp.opencaselaw.ch/entscheid/vd_gerichte_PE20.000425</w:t>
      </w:r>
    </w:p>
    <w:p>
      <w:r>
        <w:t>FR: VD_GERICHTE PE20.000425 du 9 avril 2020</w:t>
      </w:r>
    </w:p>
    <w:p>
      <w:r>
        <w:t>IT: VD_GERICHTE PE20.000425 del 9 aprile 2020</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w:t>
      </w:r>
    </w:p>
    <w:p>
      <w:r>
        <w:t>- 6 -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provisoire (CREP 24 janvier 2019/59 et les références citées). Interjeté dans le délai légal (art. 396 al. 1 CPP) par le détenu qui a qualité pour recourir (art. 222 et 382 al. 1 CPP) et dans les formes prescrites (art. 385 al. 1 CPP), le recours de H.________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Le recourant conteste l’existence de graves soupçons à son encontre, invoquant le principe de la présomption d’innocence. Il soutient qu’il n’existerait aucune preuve matérielle de son implication dans un trafic de stupéfiants, qu’il serait venu en Suisse pour se recueillir sur la tombe de son frère et qu’il ignorait la présence de la drogue trouvée dans son véhicule.</w:t>
      </w:r>
    </w:p>
    <w:p>
      <w:r>
        <w:t>- 7 -</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116 la 413 consid. 3c ; TF 1B_423/2010 du 17 janvier 2011 consid. 4.1).</w:t>
      </w:r>
    </w:p>
    <w:p>
      <w:r>
        <w:rPr>
          <w:b/>
        </w:rPr>
        <w:t>E. 3.3</w:t>
      </w:r>
    </w:p>
    <w:p>
      <w:r>
        <w:t>En l’espèce, quoi qu’en dise le recourant, ses arguments ne permettent pas de remettre en cause l’existence de charges suffisantes pesant sur lui. En effet, il a été trouvé dans la voiture dont il est le propriétaire et qu’il conduisait une quantité de 100 g de cocaïne dans un vide-poche entreposé sous le siège du conducteur. Ces éléments constituent à eux seuls des charges particulièrement lourdes de posses- sion et de transport de stupéfiants. Dans sa requête de libération, le recourant soutient certes que cette drogue aurait été déposée dans le vide-poche par un tiers à son insu et qu’il aurait bien une idée de la personne qui pourrait l’avoir fait, mais qu’il ne pourrait pas la dénoncer par crainte de représailles. Le prévenu n’apporte toutefois aucun élément</w:t>
      </w:r>
    </w:p>
    <w:p>
      <w:r>
        <w:t>- 8 - concret qui tendrait à corroborer sa version des faits. Force est dès lors de constater que les éléments au dossier constituent des soupçons sérieux d’infraction grave à la LStup à l’encontre du recourant et que la première condition de l’art. 221 al. 1 CPP est ainsi réalisée.</w:t>
      </w:r>
    </w:p>
    <w:p>
      <w:r>
        <w:rPr>
          <w:b/>
        </w:rPr>
        <w:t>E. 4.1</w:t>
      </w:r>
    </w:p>
    <w:p>
      <w:r>
        <w:t>Le recourant conteste le risque de fuite retenu par le Tribunal des mesures de contrainte, faisant valoir qu’il ne serait pas dans son intérêt de se soustraire à l’action pénale.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w:t>
      </w:r>
    </w:p>
    <w:p>
      <w:r>
        <w:rPr>
          <w:b/>
        </w:rPr>
        <w:t>E. 4.3</w:t>
      </w:r>
    </w:p>
    <w:p>
      <w:r>
        <w:t>En l’espèce, le recourant, né en 1977 au [...] et troisième d’une fratrie de quatre garçons et de quatre filles, a immigré en France avec sa famille en 1984. Il a toujours vécu depuis lors en France et n’a aucune attache en Suisse, si ce n’est que l’un de ses frères s’y trouve inhumé. Il y a dès lors tout lieu de penser que, s’il était remis en liberté, le recourant, qui est exposé à une peine privative de liberté minimale d’un an (cf. art. 19 al. 1 let. b et d et al. 2 let. a LStup), quitterait la Suisse sans plus répondre à ses convocations pour se soustraire à la poursuite pénale dirigée contre lui et à la sanction pénale encourue.</w:t>
      </w:r>
    </w:p>
    <w:p>
      <w:r>
        <w:rPr>
          <w:b/>
        </w:rPr>
        <w:t>E. 4.4</w:t>
      </w:r>
    </w:p>
    <w:p>
      <w:r>
        <w:t>Les motifs fondant la détention provisoire étant alternatifs (TF 1B_249/2011 du 7 juin 2011 consid. 2.4), l’existence manifeste du risque de fuite suffit à justifier le maintien en détention provisoire de H.________ et dispense la Cour de céans d’examiner si la détention</w:t>
      </w:r>
    </w:p>
    <w:p>
      <w:r>
        <w:t>- 9 - provisoire s’impose également en raison des risques de collusion et de réitération.</w:t>
      </w:r>
    </w:p>
    <w:p>
      <w:r>
        <w:rPr>
          <w:b/>
        </w:rPr>
        <w:t>E. 5.1</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5.2</w:t>
      </w:r>
    </w:p>
    <w:p>
      <w:r>
        <w:t>Dans ses déterminations du 23 mars 2020, le recourant propose une mesure de substitution sous la forme de l’obligation de se présenter quotidiennement à un poste de police, mais il n’en propose aucune à l’appui de son recours. Or, une simple obligation de se présenter quotidiennement à un poste de police n’est à l’évidence pas propre à pallier le risque de fuite constaté, puisqu’en cas de libération, le recourant, qui ne dispose pas de logement en Suisse, demeurerait libre de se déplacer et de quitter le territoire suisse. Au demeurant, aucune autre mesure de substitution ne paraît propre à contenir le risque de fuite retenu. Pour le surplus, au terme de la détention provisoire ordonnée par le Tribunal des mesures de contrainte, le recourant aura subi trois mois de détention, ce qui ne saurait être considéré comme excessif au vu de la gravité des faits qui lui sont reprochés, constitutifs à ce stade d’infraction grave à la LStup au sens de l’art. 19 al. 1 let. b et d LStup et passibles d’une peine privative de liberté</w:t>
      </w:r>
    </w:p>
    <w:p>
      <w:r>
        <w:t>- 10 - minimale d’un an. Partant, le principe de la proportionnalité est respecté (art. 212 al. 3 CPP).</w:t>
      </w:r>
    </w:p>
    <w:p>
      <w:r>
        <w:rPr>
          <w:b/>
        </w:rPr>
        <w:t>E. 6</w:t>
      </w:r>
    </w:p>
    <w:p>
      <w:r>
        <w:t>En définitive, le recours interjeté par H.________, manifestement mal fondé, doit être rejeté sans échange d'écritures (art. 390 al. 2 CPP) et l'ordonnance attaquée confirmée. L’indemnité allouée au défenseur d’office de H.________ doit être arrêtée à 593 fr. 20, montant arrondi à 593 fr., correspondant à 3 heures de travail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en l'espèce de l'émolument d'arrêt (art. 422 al. 1 CPP), par 1'100 fr. (art. 20 al. 1 TFIP), et des frais imputables à la défense d'office (art. 422 al. 1 et 2 let. a CPP), fixés à 593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25 mars 2020 est confirmée.</w:t>
      </w:r>
    </w:p>
    <w:p>
      <w:r>
        <w:t>- 11 - III. L’indemnité allouée au défenseur d’office de H.________ est fixée à 593 fr. (cinq cent nonante-trois francs). IV. Les frais d’arrêt, par 1'100 fr. (mille cent francs), ainsi que l’indemnité due au défenseur d’office de H.________, par 593 fr. (cinq cent nonante-trois francs), sont mis à la charge de ce dernier. V. Le remboursement à l'Etat de l'indemnité allouée au chiffre III ci-dessus ne sera exigible que pour autant que la situation financière de H.________ le permette. VI. L’arrêt est exécutoire. Le président : La greffière : Du Le présent arrêt, dont la rédaction a été approuvée à huis clos, est notifié, par l'envoi d'une copie complète, à : - Me Véronique Fontana, avocate (pour H.________), - Ministère public central, et communiqué à : - M. le Président du Tribunal des mesures de contrainte, - Mme la Procureure cantonale Strada, - Service de la population (H.________, né le [...].1977),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