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PE20.000123 vom 21. Dezember 2023</w:t>
      </w:r>
    </w:p>
    <w:p>
      <w:r>
        <w:t>VD Tribunal cantonal, 2023-12-21, FR</w:t>
      </w:r>
    </w:p>
    <w:p>
      <w:r>
        <w:rPr>
          <w:b/>
        </w:rPr>
        <w:t xml:space="preserve">Quelle: </w:t>
      </w:r>
      <w:r>
        <w:t>https://mcp.opencaselaw.ch/entscheid/vd_gerichte_PE20.000123</w:t>
      </w:r>
    </w:p>
    <w:p>
      <w:r>
        <w:t>FR: VD_GERICHTE PE20.000123 du 21 décembre 2023</w:t>
      </w:r>
    </w:p>
    <w:p>
      <w:r>
        <w:t>IT: VD_GERICHTE PE20.000123 del 21 dicembre 2023</w:t>
      </w:r>
    </w:p>
    <w:p>
      <w:pPr>
        <w:pStyle w:val="Heading2"/>
      </w:pPr>
      <w:r>
        <w:t>Erwägungen</w:t>
      </w:r>
    </w:p>
    <w:p>
      <w:r>
        <w:rPr>
          <w:b/>
        </w:rPr>
        <w:t>E. 1</w:t>
      </w:r>
    </w:p>
    <w:p>
      <w:r>
        <w:t>Interjeté dans les formes et délais légaux (art. 399 et 400 al. 3 let. b CPP [Code de procédure pénale suisse du 5 octobre 2007 ; RS 312.0]) par le Ministère public qui 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w:t>
      </w:r>
    </w:p>
    <w:p>
      <w:r>
        <w:t>- 14 -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Le Ministère public conteste la quantité de drogue retenue par les premiers juges dans le cas 1 de l'acte d'accusation (cf. ch. 2.1 supra) et soutient que l'intimée s'est rendue coupable de crime contre la loi fédérale sur les stupéfiants, la quantité de cocaïne objet du trafic étant de 130 grammes bruts, soit 78 grammes pure.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w:t>
      </w:r>
    </w:p>
    <w:p>
      <w:r>
        <w:t>- 15 -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rPr>
          <w:b/>
        </w:rPr>
        <w:t>E. 3.1.2</w:t>
      </w:r>
    </w:p>
    <w:p>
      <w:r>
        <w:t>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ainsi que celui qui prend des mesures aux fins de commettre une des infractions visées aux let. a à f (let. g). L'art. 19 al. 2 LStup prévoit les cas aggravés pour lesquels une peine privative de liberté d'un an au moins doit être prononcée. Il qualifie notamment de grave le comportement de l'auteur qui sait ou ne peut ignorer que l'infraction peut directement ou indirectement mettre en danger la santé de nombreuses personnes (let. a), ainsi que celui qui agit comme membre d'une bande formée pour se livrer de manière systématique au trafic illicite de stupéfiants (let. b), ou celui qui se livre au trafic par métier et réalise ainsi un chiffre d'affaires ou un gain important (let. c). Pour apprécier la mise en danger, directe ou indirecte, de la santé de nombreuses personnes selon l'art. 19 al. 2 let. a LStup, la</w:t>
      </w:r>
    </w:p>
    <w:p>
      <w:r>
        <w:t>- 16 -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et les références citées). Une limite a été fixée à 18 grammes pour la cocaïne pour considérer le cas comme grave au sens de l’art. 19 al. 2 let. a LStup (ATF 138 IV 100 consid. 3.2 ; ATF 121 IV 193 consid. 2b/aa). Le nombre d'opérations constitue un indice pour mesurer l’intensité du comportement délictueux. S’il est impossible de déterminer la quantité de drogue pure sur laquelle a porté l'infraction,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w:t>
      </w:r>
    </w:p>
    <w:p>
      <w:r>
        <w:rPr>
          <w:b/>
        </w:rPr>
        <w:t>E. 3.2</w:t>
      </w:r>
    </w:p>
    <w:p>
      <w:r>
        <w:t>Les premiers juges ont considéré que la prévenue s'était bien livrée à un trafic de cocaïne, comme en attestaient les mises en cause de différents consommateurs, mais qu'il fallait s'en tenir aux déclarations du fournisseur B.________, soit qu'il avait fourni à la prévenue 20 grammes de cocaïne, correspondant à 12 grammes de drogue pure. Il avait en effet indiqué que la prévenue ne vendait pas à grande échelle, les magistrats estimant qu’il n’y avait aucune raison de mettre en doute ces déclarations puisqu’il avait lui-même admis avoir acheté et vendu plusieurs kilos de cocaïne. En outre, l'enquête n'avait pas révélé d'autres fournisseurs (cf. jgmt, pp. 15-16). Cette appréciation des preuves ne peut être suivie. En effet, il résulte du rapport de police du 14 avril 2020 (P. 36) que, même si les enquêteurs n'ont pas pu chiffrer la quantité de cocaïne, le trafic était d'une plus grande ampleur que celle retenue. D'abord le nombre de connections téléphoniques entre la prévenue et son fournisseur, soit 890 entre 2 numéros (P. 36 pp. 7ss), montre une activité plus importante. Ensuite, les livraisons avaient lieu régulièrement, les conversations téléphoniques permettant d'en dénombrer 6 en 22 jours. La prévenue se prétend d'ailleurs incapable de dire la quantité vendue par son fournisseur et elle a</w:t>
      </w:r>
    </w:p>
    <w:p>
      <w:r>
        <w:t>- 17 - donné des explications farfelues sur sa capacité à couper la cocaïne et à préparer des boulettes (cf. jgmt, p. 4). Ensuite les enquêteurs ont pu établir que les livraisons s'étaient déroulées entre juin et novembre 2019 (P. 36, p. 4), soit durant 26 semaines. B.________ a livré la prévenue plusieurs fois par semaine (P. 36 p. 17). On peut donc affirmer sans doute aucun que la prévenue a reçu au minimum une quantité de 5 grammes durant 26 semaines, ce qui représente une quantité de cocaïne brut de 130 grammes soit 78 grammes pure, compte tenu du taux de pureté établi par l'Ecole des Sciences criminelles le 10 juillet 2019. Au vu de ce qui précède, le cas grave de la quantité est largement réalisé et il y a lieu de retenir que l'intimée s'est rendue coupable de crime contre la loi fédérale sur les stupéfiants au sens de l'art. 19 al. 2 let a LStup. L’appel doit être admis sur ce point.</w:t>
      </w:r>
    </w:p>
    <w:p>
      <w:r>
        <w:rPr>
          <w:b/>
        </w:rPr>
        <w:t>E. 4</w:t>
      </w:r>
    </w:p>
    <w:p>
      <w:r>
        <w:t>Le Ministère public conteste également l'acquittement dont a bénéficié la prévenue du chef d'accusation de violation du devoir d'assistance et d'éducation dans le cas 3 de l’acte d’accusation (cf. ch. 2.4 supra). Il fait valoir que la prévenue a exposé ses enfants à son trafic et à sa consommation de stupéfiants et que, pour ces mêmes motifs, elle était inapte à s'occuper d'eux, ce qui a mis leur développement en danger. Il soutient également que la prévenue aurait rendu accessible des stupéfiants à ses enfants mineurs, ce qui constituerait une infraction à l'art. 19bis LStup.</w:t>
      </w:r>
    </w:p>
    <w:p>
      <w:r>
        <w:rPr>
          <w:b/>
        </w:rPr>
        <w:t>E. 4.1.1</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t>- 18 -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rPr>
          <w:b/>
        </w:rPr>
        <w:t>E. 4.1.2</w:t>
      </w:r>
    </w:p>
    <w:p>
      <w:r>
        <w:t>Selon l’art. 19bis LStup, est puni d’une peine privative de trois ans au plus ou d’une peine pécuniaire, celui qui, sans indication médicale, propose, remet ou rend accessible de toute autre manière des stupéfiants à une personne de moins de 18 ans.</w:t>
      </w:r>
    </w:p>
    <w:p>
      <w:r>
        <w:t>- 19 -</w:t>
      </w:r>
    </w:p>
    <w:p>
      <w:r>
        <w:rPr>
          <w:b/>
        </w:rPr>
        <w:t>E. 4.2</w:t>
      </w:r>
    </w:p>
    <w:p>
      <w:r>
        <w:t>En l’espèce, et comme l’ont retenu les premiers juges (cf. jgmt, pp. 17-18), la Cour de céans considère que le comportement de la prévenue avec ses enfants était inadéquat. Cependant, rien ne permet de considérer que cette inadéquation les aurait concrètement mis en danger dans leur développement. Il n’est notamment pas établi que les enfants étaient présents lors des soirées de consommation collective de drogue, la prévenue ayant affirmé – sans pouvoir être démentie – qu'ils étaient dans leur chambre. Sur la base du prononcé de mesures protectrices de l'union conjugale rendu le 7 juin 2021, force est de constater que le développement des enfants a été mis en danger par le conflit conjugal et une dynamique familiale délétère, ce qui n'est pas imputable à la seule prévenue. Enfin, rien ne permet de considérer que la prévenue aurait accepté de porter atteinte au développement de ses enfants, même par dol éventuel (cf. jgmt, pp. 17-18). Par conséquent, et en l’absence de fait suffisamment caractérisé, la libération de la prévenue de l’infraction de défaut d’assistance doit être confirmée et l’appel rejeté sur ce point. S’agissant de l’infraction à la loi fédérale sur les stupéfiants au sens de l’art. 19bis LStup, la Cour de céans constate que les circonstances précises dans lesquelles la prévenue aurait mis de la drogue à la disposition de ses enfants n’est pas connue. On relève que l'acte d'accusation n'en énonce aucune, si ce n'est sous forme de suppositions selon lesquelles les enfants auraient pu se rendre dans la chambre de leur mère dans laquelle se trouvait de la drogue et en ingérer par inadvertance ou respirer des émanations de cannabis. L'infraction à l'art. 19bis LStup n'est donc pas non plus établie à satisfaction de droit. L’appel, mal fondé, doit être rejeté sur ce point également et l’acquittement de la prévenue confirmé.</w:t>
      </w:r>
    </w:p>
    <w:p>
      <w:r>
        <w:rPr>
          <w:b/>
        </w:rPr>
        <w:t>E. 5</w:t>
      </w:r>
    </w:p>
    <w:p>
      <w:r>
        <w:t>Le Ministère public conteste la quotité de la peine initialement fixée à 90 jours-amende à 20 fr. le jour, avec sursis pendant 2 ans. Fondé sur l’admission de son appel, il conclut au prononcé d’une peine privative de liberté de 40 mois.</w:t>
      </w:r>
    </w:p>
    <w:p>
      <w:r>
        <w:t>- 20 -</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 TF 6B_1493/2021 du 20 juin 2022 consid. 5.1). Le type de drogue et sa pureté doivent aussi être pris en considération (ATF 122 IV 299 consid. 2c ; ATF 121 IV 193 consid. 2b/aa). Le type et la nature du trafic en cause sont également déterminants. L'appréciation est différente selon que l'auteur a agi de manière autonome ou comme membre d'une organisation. Dans ce dernier cas, il importera de déterminer la nature de sa participation et sa</w:t>
      </w:r>
    </w:p>
    <w:p>
      <w:r>
        <w:t>- 21 -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du 15 mai 2023 consid. 3.1 et les références citées).</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w:t>
      </w:r>
    </w:p>
    <w:p>
      <w:r>
        <w:t>- 22 -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5.1.3</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5.2</w:t>
      </w:r>
    </w:p>
    <w:p>
      <w:r>
        <w:t>En l’espèce, et au vu de l’admission partielle de l’appel (cf. consid. 3.1 supra), la prévenue est reconnue coupable de crime et de délit contre la loi fédérale sur les stupéfiants au sens de l’art. 19 LStup. Il convient dès lors de refixer la peine en tenant compte de cette culpabilité aggravée. La Cour de céans considère que la culpabilité de la prévenue est importante. A charge, il faut retenir que durant une période de cinq mois, elle a participé à un trafic portant, à tout le moins, sur 78 grammes de cocaïne pure, mettant la vie d’un nombre important de personnes en danger. Le trafic n’a pris fin qu’après l’intervention de la police et la prévenue n’a eu de cesse de nier les faits dont elle s’est rendue coupable. On retiendra encore que les infractions sont en concours. A décharge, on tiendra compte du fait que la prévenue a agi pour financer sa propre consommation. L’infraction la plus grave, soit le crime contre la LStup (cf. cas 1 de l’acte d’accusation, ch. 2.1 supra) doit être sanctionné d’une peine privative de liberté de 12 mois. Par l’effet du concours, il convient d’ajouter 3 mois pour le délit à la LStup (cf. cas 2 de l’acte d’accusation, ch. 2.2 supra). C’est ainsi une peine privative de liberté de 15 mois qui</w:t>
      </w:r>
    </w:p>
    <w:p>
      <w:r>
        <w:t>- 23 - doit sanctionner le comportement de la prévenue. Les conditions du sursis étant remplies, l’exécution de la peine sera suspendue et le délai d’épreuve fixé à deux ans.</w:t>
      </w:r>
    </w:p>
    <w:p>
      <w:r>
        <w:rPr>
          <w:b/>
        </w:rPr>
        <w:t>E. 6</w:t>
      </w:r>
    </w:p>
    <w:p>
      <w:r>
        <w:t>La prévenue étant condamnée pour crime et délit à la LStup, mais acquittée des infractions d’obtention illicite de prestations d’une assurance sociale ou de l’aide sociale, de violation du devoir d’assistance et d’éducation, de délit contre la Loi fédérale sur les stupéfiants au sens de l’art. 19bis LStup et de contravention à la loi fédérale sur les stupéfiants au sens de l’art. 19a LStup, il n’y a pas lieu de modifier le sort des frais de première instance tel que fixé par les premiers juges.</w:t>
      </w:r>
    </w:p>
    <w:p>
      <w:r>
        <w:rPr>
          <w:b/>
        </w:rPr>
        <w:t>E. 7</w:t>
      </w:r>
    </w:p>
    <w:p>
      <w:r>
        <w:t>En définitive, l’appel du Ministère public est partiellement admis et le jugement rendu le 21 décembre 2023 par le Tribunal correctionnel de l’arrondissement de l’Est vaudois est réformé dans le sens des considérants. Me Cyril-Marc Amberger, défenseur d’office de C.________, a produit une liste d’opérations faisant état de 11 heures et 55 minutes d’activité (P. 108), ce dont il n’y a pas lieu de s’écarter sous réserve du retranchement de 2 heures pour tenir compte de la durée effective de l’audience d’appel. On retiendra ainsi 9 heures et 55 minutes de travail d’avocat breveté, rémunérées au tarif horaire de 180 fr., soit 1'785 fr., auxquels il convient d’ajouter des débours forfaitaires à concurrence de 2 %, par 35 fr. 70, (art. 3bis al. 1 RAJ [règlement du 7 décembre 2010 sur l'assistance judiciaire en matière civile ; BLV 211.02.3], une vacation forfaitaire de 120 fr. et la TVA à 8,1 %, soit 157 fr. 20. L’indemnité totale s’élèvera ainsi à 2’097 fr. 90 pour la procédure d’appel. La prévenue voit sa culpabilité aggravée pour un cas alors que son acquittement est confirmé pour les autres chefs d’inculpation plaidés par le Ministère public. Compte tenu de l’issue de la procédure, les frais de la procédure d’appel, par 4’667 fr. 90, constitués des émoluments de</w:t>
      </w:r>
    </w:p>
    <w:p>
      <w:r>
        <w:t>- 24 - jugement et d’audience, par 2’570 fr. (art. 21 al. 1 et 2 TFIP), et de l’indemnité due au défenseur d’office, par 2'097 fr. 90, seront mis par un tiers, soit 1’555 fr. 95, à la charge de C.________, le solde, par 3’111 fr. 95,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