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PE20.000115 vom 14. August 2020</w:t>
      </w:r>
    </w:p>
    <w:p>
      <w:r>
        <w:t>VD Tribunal cantonal, 2020-08-14, FR</w:t>
      </w:r>
    </w:p>
    <w:p>
      <w:r>
        <w:rPr>
          <w:b/>
        </w:rPr>
        <w:t xml:space="preserve">Quelle: </w:t>
      </w:r>
      <w:r>
        <w:t>https://mcp.opencaselaw.ch/entscheid/vd_gerichte_PE20.000115</w:t>
      </w:r>
    </w:p>
    <w:p>
      <w:r>
        <w:t>FR: VD_GERICHTE PE20.000115 du 14 août 2020</w:t>
      </w:r>
    </w:p>
    <w:p>
      <w:r>
        <w:t>IT: VD_GERICHTE PE20.000115 del 14 agosto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w:t>
      </w:r>
    </w:p>
    <w:p>
      <w:r>
        <w:t>- 4 -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le recours de T.________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w:t>
      </w:r>
    </w:p>
    <w:p>
      <w:r>
        <w:rPr>
          <w:b/>
        </w:rPr>
        <w:t>E. 2.2</w:t>
      </w:r>
    </w:p>
    <w:p>
      <w:r>
        <w:t>Aux termes de l’art. 169 CP,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 L’art. 139 ch. 1 CP dispose que celui qui, pour se procurer ou procurer à un tiers un enrichissement illégitime, aura soustrait une chose mobilière appartenant à autrui dans le but de se l’approprier sera puni d’une peine privative de liberté de cinq ans au plus ou d’une peine pécuniaire.</w:t>
      </w:r>
    </w:p>
    <w:p>
      <w:r>
        <w:t>- 5 - Conformément à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2.3</w:t>
      </w:r>
    </w:p>
    <w:p>
      <w:r>
        <w:t>Dans le cas présent, s’agissant des faits dénoncés le 18 décembre 2019, on ne peut suivre l’appréciation du Ministère public lorsqu’il considère que le litige entre parties avait un aspect civil principal et qu'en tout état de cause, les loyers ayant été finalement réglés, il n'y avait aucun intérêt public à poursuivre pénalement l’intimé. En effet, comme le soutient le recourant, les frais accessoires sont couverts par le droit de rétention (ATF 111 II 71, JdT 1987 II 67). Or, dans ses déterminations du 4 août 2020, l'intimé n'établit pas que lesdits frais, réclamés à hauteur de 4'835 fr. 05, auraient aussi été éteints. Il se contente de refaire le litige civil qui oppose les parties. Il ne conteste toutefois pas que l’entier du montant justifiant le blocage des véhicules n’avait pas été réglé lorsqu’il en a disposé. Enfin, et contrairement à ce qu’affirme l’intimé, la question de l’application de l’art. 52 CP se posera plus tard. A ce stade, les conditions de l’art. 169 CP paraissent réalisées, ce qui justifie l’ouverture d’une instruction pénale. Le recours doit être admis sur ce point et l’ordonnance entreprise annulée en tant qu’elle porte sur le détournement de valeurs patrimoniales mises sous main de justice. S’agissant en revanche des faits dénoncés le 4 février 2020, on ne peut suivre le recourant lorsqu’il soutient qu'à partir du moment où l'intimé avait emporté des drapeaux lui appartenant, un vol avait bel et bien été commis. En effet, il résulte des déclarations de l'intimé (PV aud. 2, R 3) que les drapeaux du recourant se trouvaient sur des mâts qui lui appartenaient et qu'il avait restitués ceux-ci le 5 mars 2020. On ne voit pas dans ce comportement une intention de s'approprier indûment ces drapeaux. Le fait qu'ils aient été restitués au recourant le jour de l'audition de l'intimé n'y change rien. S’agissant de la remise en état du terrain aux endroits où se trouvaient les embases de fixation des mâts, l’intimé a déclaré – sans que le recourant ne le conteste – que lesdites embases</w:t>
      </w:r>
    </w:p>
    <w:p>
      <w:r>
        <w:t>- 6 - avaient été mises en place par un précédent locataire qui ne les avait pas enlevées lorsque l’intimé s’était installé dans les locaux en 2010, raison pour laquelle il les avait laissées lorsqu’il avait récupéré ses mâts pour drapeaux (PV aud. 2, R. 3). D’ailleurs, il ne figure au dossier aucune mise en demeure du recourant, pour la restitution des drapeaux ou la remise en état du terrain, et qui serait demeurée vaine. Partant, le recours sur ce point est mal fondé et doit être rejeté. 4. En définitive, le recours doit être partiellement admis. L’ordonnance attaquée est annulée en tant qu’elle porte sur le détournement de valeurs patrimoniales mises sous main de justice (art. 169 CP) et le dossier de la cause renvoyé au Ministère public de l’arrondissement du Nord vaudois pour qu’il procède dans le sens des considérants. L’ordonnance doit être confirmée pour le surplus. Les frais de la procédure de recours, constitués en l’espèce du seul émolument d’arrêt par 770 fr. (art. 20 al. 1 TFIP [Tarif des frais de procédure et indemnités en matière pénale du 28 septembre 2010; BLV 312.03.1]), seront mis à la charge du recourant à concurrence d’un tiers, soit 256 fr. 70, et laissés à la charge de l’Etat pour le surplus (art. 428 al. 1 et 4 CPP). T.________ qui obtient partiellement gain de cause et qui a procédé avec l’assistance d’un mandataire professionnel, a droit à une indemnité pour les dépenses obligatoires occasionnées par la procédure de recours, à savoir pour les frais qu’il a engagés pour l’exercice de ses droits de procédure en deuxième instance. Vu le parallélisme entre le sort des frais et celui des indemnités (ATF 137 IV 352 consid. 2.4.2, JdT 2012 IV 255), l’indemnité sera réduite d’un tiers pour tenir compte de la mesure dans laquelle le recours est admis. Au vu du mémoire produit, la pleine indemnité sera fixée sur la base d’une activité d’avocat de trois heures au tarif horaire de 300 francs. A ces honoraires, de 900 fr., il convient d’ajouter des débours forfaitaires à concurrence de 2 % (art. 19 al. 2 TDC [Tarif des dépens en matière civile du 23 novembre 2010; BLV 270.11.6],</w:t>
      </w:r>
    </w:p>
    <w:p>
      <w:r>
        <w:t>- 7 - applicable par renvoi de l’art. 26a al. 6 TFIP), par 18 fr., plus un montant correspondant à la TVA, par 70 fr. 70, ce qui donne 988 fr. 70 au total, somme arrondie à 989 francs. Partant, l’indemnité réduite (2/3) allouée s’élève au montant arrondi de 659 francs. L’indemnité allouée à T.________ sera compensée, en vertu de l’art. 442 al. 4 CPP, à due concurrence avec la part des frais de la procédure de recours mis à sa charge, de sorte que le solde dû par l’Etat à T.________ s’élève en définitive à 402 fr. 30 (CREP 14 février 2018/120 consid. 6 ; CREP 26 janvier 2017/44 consid. 3 et la réf. citée). Par ces motifs, la Chambre des recours pénale prononce : I. Le recours est partiellement admis. II. L’ordonnance du 28 mai 2020 est annulée en tant qu’elle porte sur l’infraction de détournement de valeurs patrimoniales mises sous main de justice. L’ordonnance est confirmée pour le surplus. III. Le dossier de la cause est renvoyé au Ministère public de l’arrondissement du Nord vaudois pour qu’il procède dans le sens des considérants. IV. Les frais d’arrêt, par 770 fr. (sept cent septante francs), sont mis par un tiers, soit 256 fr. 70 (deux cent cinquante-six francs et septante centimes), à la charge de T.________, le solde étant laissé à la charge de l’Etat. V. Une indemnité de 659 fr. (six cent cinquante-neuf francs) est allouée à T.________ pour les dépenses occasionnées par la procédure de recours, à la charge de l’Etat. VI. Les frais d'arrêt mis à la charge de T.________, par 256 fr. 70 (deux cent cinquante-six francs et septante centimes), sont compensés avec l’indemnité allouée au chiffre V ci-dessus, un</w:t>
      </w:r>
    </w:p>
    <w:p>
      <w:r>
        <w:t>- 8 - solde de 402 fr. 30 (quatre cent deux francs et trente centimes) étant dû par l'Etat à T.________. VII. L’arrêt est exécutoire. Le président : La greffière :</w:t>
      </w:r>
    </w:p>
    <w:p>
      <w:r>
        <w:t>- 9 - Du Le présent arrêt, dont la rédaction a été approuvée à huis clos, est notifié, par l'envoi d'une copie complète, à : - Me Yvan Henzer, avocat (pour T.________), - M. H.________,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juillet 2017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