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PE20.000064 vom 19. August 2020</w:t>
      </w:r>
    </w:p>
    <w:p>
      <w:r>
        <w:t>VD Tribunal cantonal, 2020-08-19, FR</w:t>
      </w:r>
    </w:p>
    <w:p>
      <w:r>
        <w:rPr>
          <w:b/>
        </w:rPr>
        <w:t xml:space="preserve">Quelle: </w:t>
      </w:r>
      <w:r>
        <w:t>https://mcp.opencaselaw.ch/entscheid/vd_gerichte_PE20.000064</w:t>
      </w:r>
    </w:p>
    <w:p>
      <w:r>
        <w:t>FR: VD_GERICHTE PE20.000064 du 19 août 2020</w:t>
      </w:r>
    </w:p>
    <w:p>
      <w:r>
        <w:t>IT: VD_GERICHTE PE20.000064 del 19 agosto 2020</w:t>
      </w:r>
    </w:p>
    <w:p>
      <w:pPr>
        <w:pStyle w:val="Heading2"/>
      </w:pPr>
      <w:r>
        <w:t>Erwägungen</w:t>
      </w:r>
    </w:p>
    <w:p>
      <w:r>
        <w:rPr>
          <w:b/>
        </w:rPr>
        <w:t>E. 16</w:t>
      </w:r>
    </w:p>
    <w:p>
      <w:r>
        <w:t>janvier 2020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w:t>
      </w:r>
    </w:p>
    <w:p>
      <w:r>
        <w:t>- 5 - conformément à la maxime de l’instruction (art. 6 al. 1 CPP), à toutes les mesures d’instruction pertinentes susceptibles d’établir l’existence de soupçons suffisants justifiant une mise en accusation (CREP 10 mai 2016/305 et les références citées). 2. 2.1 Le recourant soutient que P.________ s’est rendu coupable de dénonciation calomnieuse en l’accusant faussement d’avoir commis une escroquerie à son encontre le 25 mai 2019. 2.2 Aux termes de l'art. 303 ch. 1 al. 1 CP (Code pénal suisse du</w:t>
      </w:r>
    </w:p>
    <w:p>
      <w:r>
        <w:rPr>
          <w:b/>
        </w:rPr>
        <w:t>E. 21</w:t>
      </w:r>
    </w:p>
    <w:p>
      <w:r>
        <w:t>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 [éd.], Petit commentaire, Code pénal, 2e éd., Bâle 2017, n. 18 ad art. 303 CP et les références citées). Est considéré comme innocent notamment celui qui a été libéré par jugement d’acquittement ou par le prononcé d’un non-lieu (ATF 136 IV 170 consid. 2.1 ;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w:t>
      </w:r>
    </w:p>
    <w:p>
      <w:r>
        <w:t>- 6 - Sur le plan subjectif, l’auteur doit savoir que la personne visée par la dénonciation est innocente, comme c'est le cas pour la calomnie. Le dol éventuel est exclu (ATF 136 IV 170 consid. 2.1 ; TF 6B_32/2011 du 24 février 2011 consid. 1.1 ; Dupuis et al., op. cit., nn. 22-23 ad art. 303 CP). 2.3 La Procureure a en substance considéré que rien au dossier ne permettait de considérer que P.________ voulait faire ouvrir une enquête pénale contre des personnes qu’il savait innocentes. Le recourant soutient au contraire que P.________ a volontairement fait des déclarations erronées contre lui dans l’unique but de lui nuire. En l’occurrence, il résulte du rapport de police – produit par le recourant lui-même – que du matériel utile à la réalisation de l’escroquerie de type « wash-wash » a été découvert dans le véhicule dans lequel il a été appréhendé par la police le 28 septembre 2019. P.________ a reconnu Z.________ derrière une vitre sans tain lors d’une séance d’identification. On ne voit au demeurant pas pour quelles raisons P.________, qui était en situation irrégulière dans notre pays, aurait appelé la police plusieurs mois après le dépôt de sa plainte pénale, se mettant lui-même en situation délicate, pour dénoncer une personne qu’il savait innocente. Au vu de ce qui précède, aucun élément ne laisse à penser que P.________ aurait dénoncé le recourant alors qu’il le savait innocent. Les conditions de l’art. 303 CP, infraction intentionnelle, ne sont donc manifestement pas réalisées et c’est à bon droit que la Procureure a rendu une ordonnance de classement. 4. Il s’ensuit que le recours, manifestement mal fondé, doit être rejeté, sans échange d’écritures (art. 390 al. 2 CPP), et l’ordonnance entreprise confirmée. Vu l’issue de la cause, les frais de la procédure de recours, constitués du seul émolument d’arrêt, par 660 fr. (art. 20 al. 1 TFIP [Tarif</w:t>
      </w:r>
    </w:p>
    <w:p>
      <w:r>
        <w:t>- 7 - des frais de procédure et indemnités en matière pénale du 28 septembre 2010; BLV 312.03.1]), seront mis à la charge du recourant, qui succombe (art. 428 al. 1 CPP). Par ces motifs, la Chambre des recours pénale prononce : I. Le recours est rejeté. II. L’ordonnance du 23 juin 2020 est confirmée. III. Les frais d’arrêt, par 660 fr. (six cent soixante francs), sont mis à la charge de Z.________. IV. L’arrêt est exécutoire. Le président : La greffière : Du Le présent arrêt, dont la rédaction a été approuvée à huis clos, est notifié, par l'envoi d'une copie complète, à : - M. Z.________, - Ministère public central, et communiqué à :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